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80" w:type="dxa"/>
          <w:right w:w="80" w:type="dxa"/>
        </w:tblCellMar>
        <w:tblLook w:val="0000" w:firstRow="0" w:lastRow="0" w:firstColumn="0" w:lastColumn="0" w:noHBand="0" w:noVBand="0"/>
      </w:tblPr>
      <w:tblGrid>
        <w:gridCol w:w="10440"/>
      </w:tblGrid>
      <w:tr w:rsidR="00DC54EA" w:rsidRPr="007667C7" w14:paraId="63420BE9" w14:textId="77777777">
        <w:tc>
          <w:tcPr>
            <w:tcW w:w="10440" w:type="dxa"/>
          </w:tcPr>
          <w:p w14:paraId="27A0EA1C" w14:textId="77777777" w:rsidR="00DC54EA" w:rsidRPr="007667C7" w:rsidRDefault="00DC54EA">
            <w:pPr>
              <w:pStyle w:val="Heading8"/>
              <w:rPr>
                <w:rFonts w:ascii="Arial" w:hAnsi="Arial"/>
                <w:i/>
                <w:sz w:val="20"/>
              </w:rPr>
            </w:pPr>
            <w:r w:rsidRPr="007667C7">
              <w:rPr>
                <w:rFonts w:ascii="Arial" w:hAnsi="Arial"/>
                <w:i/>
              </w:rPr>
              <w:t>Chapter 1</w:t>
            </w:r>
          </w:p>
        </w:tc>
      </w:tr>
      <w:tr w:rsidR="00DC54EA" w:rsidRPr="007667C7" w14:paraId="7C932F4A" w14:textId="77777777">
        <w:tc>
          <w:tcPr>
            <w:tcW w:w="10440" w:type="dxa"/>
            <w:tcBorders>
              <w:bottom w:val="double" w:sz="6" w:space="0" w:color="auto"/>
            </w:tcBorders>
          </w:tcPr>
          <w:p w14:paraId="77CFDE61" w14:textId="77777777" w:rsidR="00DC54EA" w:rsidRPr="007667C7" w:rsidRDefault="00DC54EA">
            <w:pPr>
              <w:ind w:right="20"/>
              <w:jc w:val="both"/>
              <w:rPr>
                <w:rFonts w:ascii="Arial" w:hAnsi="Arial"/>
                <w:sz w:val="20"/>
              </w:rPr>
            </w:pPr>
          </w:p>
        </w:tc>
      </w:tr>
    </w:tbl>
    <w:p w14:paraId="358A140F" w14:textId="77777777" w:rsidR="00DC54EA" w:rsidRPr="007667C7" w:rsidRDefault="00DC54EA">
      <w:pPr>
        <w:jc w:val="both"/>
        <w:rPr>
          <w:rFonts w:ascii="Arial" w:hAnsi="Arial"/>
          <w:sz w:val="20"/>
        </w:rPr>
      </w:pPr>
    </w:p>
    <w:p w14:paraId="0D3045C4" w14:textId="77777777" w:rsidR="00DC54EA" w:rsidRPr="007667C7" w:rsidRDefault="00DC54EA">
      <w:pPr>
        <w:jc w:val="both"/>
        <w:rPr>
          <w:rFonts w:ascii="Arial" w:hAnsi="Arial"/>
          <w:sz w:val="20"/>
        </w:rPr>
      </w:pPr>
    </w:p>
    <w:p w14:paraId="0FF11A2B" w14:textId="77777777" w:rsidR="00DC54EA" w:rsidRPr="007667C7" w:rsidRDefault="00DC54EA">
      <w:pPr>
        <w:jc w:val="both"/>
        <w:rPr>
          <w:rFonts w:ascii="Arial" w:hAnsi="Arial"/>
          <w:sz w:val="20"/>
        </w:rPr>
      </w:pPr>
    </w:p>
    <w:p w14:paraId="2F858C4F" w14:textId="77777777" w:rsidR="00DC54EA" w:rsidRPr="007667C7" w:rsidRDefault="00DC54EA">
      <w:pPr>
        <w:jc w:val="both"/>
        <w:rPr>
          <w:rFonts w:ascii="Arial" w:hAnsi="Arial"/>
          <w:sz w:val="20"/>
        </w:rPr>
      </w:pPr>
    </w:p>
    <w:p w14:paraId="31647E61" w14:textId="77777777" w:rsidR="00DC54EA" w:rsidRPr="007667C7" w:rsidRDefault="00E150D1">
      <w:pPr>
        <w:jc w:val="center"/>
        <w:rPr>
          <w:rFonts w:ascii="Arial" w:hAnsi="Arial"/>
          <w:sz w:val="20"/>
        </w:rPr>
      </w:pPr>
      <w:r>
        <w:rPr>
          <w:noProof/>
        </w:rPr>
        <w:drawing>
          <wp:inline distT="0" distB="0" distL="0" distR="0" wp14:anchorId="0142EE9D" wp14:editId="7FC8B168">
            <wp:extent cx="1337945" cy="19983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7945" cy="1998345"/>
                    </a:xfrm>
                    <a:prstGeom prst="rect">
                      <a:avLst/>
                    </a:prstGeom>
                    <a:noFill/>
                    <a:ln>
                      <a:noFill/>
                    </a:ln>
                  </pic:spPr>
                </pic:pic>
              </a:graphicData>
            </a:graphic>
          </wp:inline>
        </w:drawing>
      </w:r>
    </w:p>
    <w:p w14:paraId="7751143F" w14:textId="77777777" w:rsidR="00DC54EA" w:rsidRPr="007667C7" w:rsidRDefault="00DC54EA">
      <w:pPr>
        <w:jc w:val="both"/>
        <w:rPr>
          <w:rFonts w:ascii="Arial" w:hAnsi="Arial"/>
          <w:sz w:val="20"/>
        </w:rPr>
      </w:pPr>
    </w:p>
    <w:p w14:paraId="7C8299E3" w14:textId="77777777" w:rsidR="00DC54EA" w:rsidRPr="007667C7" w:rsidRDefault="00DC54EA">
      <w:pPr>
        <w:jc w:val="both"/>
        <w:rPr>
          <w:rFonts w:ascii="Arial" w:hAnsi="Arial"/>
          <w:sz w:val="20"/>
        </w:rPr>
      </w:pPr>
    </w:p>
    <w:p w14:paraId="395693F9" w14:textId="77777777" w:rsidR="00DC54EA" w:rsidRPr="007667C7" w:rsidRDefault="00DC54EA" w:rsidP="00607678">
      <w:pPr>
        <w:jc w:val="center"/>
        <w:rPr>
          <w:rFonts w:ascii="Arial" w:hAnsi="Arial"/>
          <w:b/>
          <w:sz w:val="48"/>
        </w:rPr>
      </w:pPr>
      <w:r w:rsidRPr="007667C7">
        <w:rPr>
          <w:rFonts w:ascii="Arial" w:hAnsi="Arial"/>
          <w:b/>
          <w:sz w:val="48"/>
        </w:rPr>
        <w:t>Law</w:t>
      </w:r>
      <w:r w:rsidR="00607678" w:rsidRPr="007667C7">
        <w:rPr>
          <w:rFonts w:ascii="Arial" w:hAnsi="Arial"/>
          <w:b/>
          <w:sz w:val="48"/>
        </w:rPr>
        <w:t xml:space="preserve"> </w:t>
      </w:r>
      <w:r w:rsidRPr="007667C7">
        <w:rPr>
          <w:rFonts w:ascii="Arial" w:hAnsi="Arial"/>
          <w:b/>
          <w:sz w:val="48"/>
        </w:rPr>
        <w:t>and Legal Reasoning</w:t>
      </w:r>
    </w:p>
    <w:p w14:paraId="497790B2" w14:textId="77777777" w:rsidR="00DC54EA" w:rsidRPr="007667C7" w:rsidRDefault="00DC54EA">
      <w:pPr>
        <w:jc w:val="both"/>
        <w:rPr>
          <w:rFonts w:ascii="Arial" w:hAnsi="Arial"/>
          <w:sz w:val="20"/>
        </w:rPr>
      </w:pPr>
    </w:p>
    <w:p w14:paraId="0AF6E352" w14:textId="77777777" w:rsidR="00DC54EA" w:rsidRPr="007667C7" w:rsidRDefault="00DC54EA">
      <w:pPr>
        <w:jc w:val="both"/>
        <w:rPr>
          <w:rFonts w:ascii="Arial" w:hAnsi="Arial"/>
          <w:sz w:val="20"/>
        </w:rPr>
      </w:pPr>
    </w:p>
    <w:p w14:paraId="3C7B6E6C" w14:textId="77777777" w:rsidR="00DC54EA" w:rsidRPr="007667C7" w:rsidRDefault="00DC54EA">
      <w:pPr>
        <w:jc w:val="both"/>
        <w:rPr>
          <w:rFonts w:ascii="Arial" w:hAnsi="Arial"/>
          <w:b/>
          <w:smallCaps/>
          <w:sz w:val="28"/>
        </w:rPr>
      </w:pPr>
      <w:r w:rsidRPr="007667C7">
        <w:rPr>
          <w:rFonts w:ascii="Arial" w:hAnsi="Arial"/>
          <w:b/>
          <w:smallCaps/>
          <w:sz w:val="28"/>
        </w:rPr>
        <w:t>Introduction</w:t>
      </w:r>
    </w:p>
    <w:p w14:paraId="6647F076" w14:textId="77777777" w:rsidR="00DC54EA" w:rsidRPr="007667C7" w:rsidRDefault="00DC54EA">
      <w:pPr>
        <w:jc w:val="both"/>
        <w:rPr>
          <w:rFonts w:ascii="Arial" w:hAnsi="Arial"/>
          <w:sz w:val="20"/>
        </w:rPr>
      </w:pPr>
    </w:p>
    <w:p w14:paraId="70E0C6CA" w14:textId="77777777" w:rsidR="00DC54EA" w:rsidRPr="007667C7" w:rsidRDefault="00DC54EA">
      <w:pPr>
        <w:jc w:val="both"/>
        <w:rPr>
          <w:rFonts w:ascii="Arial" w:hAnsi="Arial"/>
          <w:sz w:val="20"/>
        </w:rPr>
      </w:pPr>
      <w:r w:rsidRPr="007667C7">
        <w:rPr>
          <w:rFonts w:ascii="Arial" w:hAnsi="Arial"/>
          <w:sz w:val="20"/>
        </w:rPr>
        <w:tab/>
        <w:t>The first chapters in Unit 1 provide the background for the entire course.  Chapter 1 sets the stage.  At this point, it is important to establish goals and objectives.  For your students to benefit from this course, they must understand that (1) the law is a set of general rules, (2) that, in applying these general rules, a judge cannot always fit a case to suit a rule, so must fit (or find) a rule to suit the case,  (3) that, in fitting (or find</w:t>
      </w:r>
      <w:r w:rsidRPr="007667C7">
        <w:rPr>
          <w:rFonts w:ascii="Arial" w:hAnsi="Arial"/>
          <w:sz w:val="20"/>
        </w:rPr>
        <w:softHyphen/>
        <w:t>ing) a rule, a judge must also supply reasons for the decision.</w:t>
      </w:r>
    </w:p>
    <w:p w14:paraId="7A37311C" w14:textId="77777777" w:rsidR="00DC54EA" w:rsidRPr="007667C7" w:rsidRDefault="00DC54EA">
      <w:pPr>
        <w:jc w:val="both"/>
        <w:rPr>
          <w:rFonts w:ascii="Arial" w:hAnsi="Arial"/>
          <w:sz w:val="20"/>
        </w:rPr>
      </w:pPr>
    </w:p>
    <w:p w14:paraId="3263F795" w14:textId="77777777" w:rsidR="00DC54EA" w:rsidRPr="007667C7" w:rsidRDefault="00DC54EA">
      <w:pPr>
        <w:jc w:val="both"/>
        <w:rPr>
          <w:rFonts w:ascii="Arial" w:hAnsi="Arial"/>
          <w:sz w:val="20"/>
        </w:rPr>
      </w:pPr>
      <w:r w:rsidRPr="007667C7">
        <w:rPr>
          <w:rFonts w:ascii="Arial" w:hAnsi="Arial"/>
          <w:sz w:val="20"/>
        </w:rPr>
        <w:tab/>
        <w:t>The tension in the law between the need for stability, predictability, and continuity, and the need for change is one of the major concepts introduced in this chapter.  The answer to the question, “What is the law</w:t>
      </w:r>
      <w:proofErr w:type="gramStart"/>
      <w:r w:rsidRPr="007667C7">
        <w:rPr>
          <w:rFonts w:ascii="Arial" w:hAnsi="Arial"/>
          <w:sz w:val="20"/>
        </w:rPr>
        <w:t>?,</w:t>
      </w:r>
      <w:proofErr w:type="gramEnd"/>
      <w:r w:rsidRPr="007667C7">
        <w:rPr>
          <w:rFonts w:ascii="Arial" w:hAnsi="Arial"/>
          <w:sz w:val="20"/>
        </w:rPr>
        <w:t>” includes how jurists have an</w:t>
      </w:r>
      <w:r w:rsidRPr="007667C7">
        <w:rPr>
          <w:rFonts w:ascii="Arial" w:hAnsi="Arial"/>
          <w:sz w:val="20"/>
        </w:rPr>
        <w:softHyphen/>
        <w:t xml:space="preserve">swered it, how common law courts originated, and the rationale for the doctrine of </w:t>
      </w:r>
      <w:r w:rsidRPr="007667C7">
        <w:rPr>
          <w:rFonts w:ascii="Arial" w:hAnsi="Arial"/>
          <w:i/>
          <w:sz w:val="20"/>
        </w:rPr>
        <w:t>stare decisis</w:t>
      </w:r>
      <w:r w:rsidRPr="007667C7">
        <w:rPr>
          <w:rFonts w:ascii="Arial" w:hAnsi="Arial"/>
          <w:sz w:val="20"/>
        </w:rPr>
        <w:t>.</w:t>
      </w:r>
    </w:p>
    <w:p w14:paraId="401DE512" w14:textId="77777777" w:rsidR="00DC54EA" w:rsidRPr="007667C7" w:rsidRDefault="00DC54EA">
      <w:pPr>
        <w:jc w:val="both"/>
        <w:rPr>
          <w:rFonts w:ascii="Arial" w:hAnsi="Arial"/>
          <w:sz w:val="20"/>
        </w:rPr>
      </w:pPr>
    </w:p>
    <w:p w14:paraId="55E9CA7D" w14:textId="77777777" w:rsidR="00DC54EA" w:rsidRPr="007667C7" w:rsidRDefault="00DC54EA">
      <w:pPr>
        <w:jc w:val="both"/>
        <w:rPr>
          <w:rFonts w:ascii="Arial" w:hAnsi="Arial"/>
          <w:sz w:val="20"/>
        </w:rPr>
      </w:pPr>
      <w:r w:rsidRPr="007667C7">
        <w:rPr>
          <w:rFonts w:ascii="Arial" w:hAnsi="Arial"/>
          <w:sz w:val="20"/>
        </w:rPr>
        <w:tab/>
        <w:t>Another major concept in the chapter involves the distinctions among today’s sources of law and a dis</w:t>
      </w:r>
      <w:r w:rsidRPr="007667C7">
        <w:rPr>
          <w:rFonts w:ascii="Arial" w:hAnsi="Arial"/>
          <w:sz w:val="20"/>
        </w:rPr>
        <w:softHyphen/>
        <w:t>tinction in its different classifications.  The sources include the federal constitution and federal laws, state con</w:t>
      </w:r>
      <w:r w:rsidRPr="007667C7">
        <w:rPr>
          <w:rFonts w:ascii="Arial" w:hAnsi="Arial"/>
          <w:sz w:val="20"/>
        </w:rPr>
        <w:softHyphen/>
        <w:t>stitutions and statutes (including the UCC), local ordinances, administrative agency regulations, and case law.  The classification is the distinction between civil and criminal law.  These sources and categories give students a framework on which to hang the mass of principles known as the law.</w:t>
      </w:r>
    </w:p>
    <w:p w14:paraId="050A0D48" w14:textId="77777777" w:rsidR="00D955B7" w:rsidRPr="007667C7" w:rsidRDefault="00D955B7">
      <w:pPr>
        <w:jc w:val="both"/>
        <w:rPr>
          <w:rFonts w:ascii="Arial" w:hAnsi="Arial"/>
          <w:sz w:val="20"/>
        </w:rPr>
      </w:pPr>
    </w:p>
    <w:p w14:paraId="6DAC3DE6" w14:textId="77777777" w:rsidR="00D955B7" w:rsidRPr="007667C7" w:rsidRDefault="00D955B7">
      <w:pPr>
        <w:jc w:val="both"/>
        <w:rPr>
          <w:rFonts w:ascii="Arial" w:hAnsi="Arial"/>
          <w:sz w:val="20"/>
        </w:rPr>
      </w:pPr>
    </w:p>
    <w:p w14:paraId="03CF89FC" w14:textId="77777777" w:rsidR="00DC54EA" w:rsidRPr="007667C7" w:rsidRDefault="00DC54EA">
      <w:pPr>
        <w:pStyle w:val="Heading7"/>
        <w:rPr>
          <w:rFonts w:ascii="Arial" w:hAnsi="Arial"/>
          <w:b/>
        </w:rPr>
      </w:pPr>
      <w:r w:rsidRPr="007667C7">
        <w:rPr>
          <w:rFonts w:ascii="Arial" w:hAnsi="Arial"/>
          <w:b/>
        </w:rPr>
        <w:lastRenderedPageBreak/>
        <w:t>Chapter Outline</w:t>
      </w:r>
    </w:p>
    <w:p w14:paraId="4BED2B8A" w14:textId="77777777" w:rsidR="00DC54EA" w:rsidRPr="007667C7" w:rsidRDefault="00DC54EA">
      <w:pPr>
        <w:tabs>
          <w:tab w:val="left" w:pos="720"/>
        </w:tabs>
        <w:jc w:val="both"/>
        <w:rPr>
          <w:rFonts w:ascii="Arial" w:hAnsi="Arial"/>
          <w:sz w:val="16"/>
        </w:rPr>
      </w:pPr>
    </w:p>
    <w:p w14:paraId="64AC204D" w14:textId="77777777" w:rsidR="00DC54EA" w:rsidRPr="007667C7" w:rsidRDefault="00DC54EA">
      <w:pPr>
        <w:ind w:left="720" w:hanging="720"/>
        <w:jc w:val="both"/>
        <w:rPr>
          <w:rFonts w:ascii="Arial" w:hAnsi="Arial"/>
          <w:b/>
        </w:rPr>
      </w:pPr>
      <w:r w:rsidRPr="007667C7">
        <w:rPr>
          <w:rFonts w:ascii="Arial" w:hAnsi="Arial"/>
          <w:b/>
        </w:rPr>
        <w:t>I.</w:t>
      </w:r>
      <w:r w:rsidRPr="007667C7">
        <w:rPr>
          <w:rFonts w:ascii="Arial" w:hAnsi="Arial"/>
          <w:b/>
        </w:rPr>
        <w:tab/>
        <w:t>Business Activities and the Legal Environment</w:t>
      </w:r>
    </w:p>
    <w:p w14:paraId="3A601BA4" w14:textId="77777777" w:rsidR="003B5B02" w:rsidRPr="009B4805" w:rsidRDefault="003B5B02" w:rsidP="003B5B02">
      <w:pPr>
        <w:tabs>
          <w:tab w:val="left" w:pos="1440"/>
          <w:tab w:val="left" w:pos="2160"/>
          <w:tab w:val="left" w:pos="2880"/>
        </w:tabs>
        <w:ind w:left="1160" w:hanging="440"/>
        <w:jc w:val="both"/>
        <w:rPr>
          <w:rFonts w:ascii="Arial" w:hAnsi="Arial"/>
          <w:sz w:val="20"/>
        </w:rPr>
      </w:pPr>
    </w:p>
    <w:p w14:paraId="14112B1D" w14:textId="77777777" w:rsidR="003B5B02" w:rsidRPr="009B4805" w:rsidRDefault="003B5B02" w:rsidP="003B5B02">
      <w:pPr>
        <w:tabs>
          <w:tab w:val="left" w:pos="1440"/>
          <w:tab w:val="left" w:pos="2160"/>
          <w:tab w:val="left" w:pos="2880"/>
        </w:tabs>
        <w:ind w:left="1160" w:hanging="440"/>
        <w:jc w:val="both"/>
        <w:rPr>
          <w:rFonts w:ascii="Arial" w:hAnsi="Arial"/>
          <w:b/>
          <w:smallCaps/>
          <w:sz w:val="20"/>
        </w:rPr>
      </w:pPr>
      <w:r w:rsidRPr="009B4805">
        <w:rPr>
          <w:rFonts w:ascii="Arial" w:hAnsi="Arial"/>
          <w:b/>
          <w:smallCaps/>
          <w:sz w:val="20"/>
        </w:rPr>
        <w:t>A.</w:t>
      </w:r>
      <w:r w:rsidRPr="009B4805">
        <w:rPr>
          <w:rFonts w:ascii="Arial" w:hAnsi="Arial"/>
          <w:b/>
          <w:smallCaps/>
          <w:sz w:val="20"/>
        </w:rPr>
        <w:tab/>
        <w:t xml:space="preserve">Many Different Laws May Affect a Single Business </w:t>
      </w:r>
      <w:r w:rsidR="003272E2" w:rsidRPr="009B4805">
        <w:rPr>
          <w:rFonts w:ascii="Arial" w:hAnsi="Arial"/>
          <w:b/>
          <w:smallCaps/>
          <w:sz w:val="20"/>
        </w:rPr>
        <w:t>Decision</w:t>
      </w:r>
    </w:p>
    <w:p w14:paraId="71AFA46A" w14:textId="77777777" w:rsidR="007475A4" w:rsidRPr="009B4805" w:rsidRDefault="007475A4" w:rsidP="007475A4">
      <w:pPr>
        <w:pStyle w:val="BodyTextIndent"/>
        <w:tabs>
          <w:tab w:val="left" w:pos="1890"/>
        </w:tabs>
        <w:ind w:left="1170"/>
        <w:rPr>
          <w:rFonts w:ascii="Arial" w:hAnsi="Arial"/>
        </w:rPr>
      </w:pPr>
      <w:r w:rsidRPr="009B4805">
        <w:rPr>
          <w:rFonts w:ascii="Arial" w:hAnsi="Arial"/>
        </w:rPr>
        <w:tab/>
        <w:t>Panels of experts and scholars create uniform laws that any state’s legislature can adopt.</w:t>
      </w:r>
    </w:p>
    <w:p w14:paraId="7A436F24" w14:textId="77777777" w:rsidR="007475A4" w:rsidRPr="009B4805" w:rsidRDefault="007475A4" w:rsidP="007475A4">
      <w:pPr>
        <w:tabs>
          <w:tab w:val="left" w:pos="1440"/>
          <w:tab w:val="left" w:pos="1620"/>
          <w:tab w:val="left" w:pos="2160"/>
          <w:tab w:val="left" w:pos="2880"/>
        </w:tabs>
        <w:ind w:left="1620" w:hanging="450"/>
        <w:jc w:val="both"/>
        <w:rPr>
          <w:rFonts w:ascii="Arial" w:hAnsi="Arial"/>
          <w:sz w:val="20"/>
        </w:rPr>
      </w:pPr>
    </w:p>
    <w:p w14:paraId="080BA301" w14:textId="77777777" w:rsidR="007475A4" w:rsidRPr="009B4805" w:rsidRDefault="007475A4" w:rsidP="007475A4">
      <w:pPr>
        <w:tabs>
          <w:tab w:val="left" w:pos="1890"/>
          <w:tab w:val="left" w:pos="2160"/>
          <w:tab w:val="left" w:pos="2880"/>
        </w:tabs>
        <w:ind w:left="1620" w:hanging="440"/>
        <w:jc w:val="both"/>
        <w:rPr>
          <w:rFonts w:ascii="Arial" w:hAnsi="Arial"/>
          <w:b/>
          <w:sz w:val="20"/>
        </w:rPr>
      </w:pPr>
      <w:r w:rsidRPr="009B4805">
        <w:rPr>
          <w:rFonts w:ascii="Arial" w:hAnsi="Arial"/>
          <w:b/>
          <w:sz w:val="20"/>
        </w:rPr>
        <w:t>1.</w:t>
      </w:r>
      <w:r w:rsidRPr="009B4805">
        <w:rPr>
          <w:rFonts w:ascii="Arial" w:hAnsi="Arial"/>
          <w:b/>
          <w:sz w:val="20"/>
        </w:rPr>
        <w:tab/>
        <w:t>Lessons from Facebook</w:t>
      </w:r>
    </w:p>
    <w:p w14:paraId="417918A2" w14:textId="77777777" w:rsidR="003B5B02" w:rsidRPr="009B4805" w:rsidRDefault="007475A4" w:rsidP="007475A4">
      <w:pPr>
        <w:tabs>
          <w:tab w:val="left" w:pos="1620"/>
        </w:tabs>
        <w:ind w:left="1620" w:hanging="450"/>
        <w:jc w:val="both"/>
        <w:rPr>
          <w:rFonts w:ascii="Arial" w:hAnsi="Arial"/>
          <w:sz w:val="20"/>
        </w:rPr>
      </w:pPr>
      <w:r w:rsidRPr="009B4805">
        <w:rPr>
          <w:rFonts w:ascii="Arial" w:hAnsi="Arial"/>
          <w:sz w:val="20"/>
        </w:rPr>
        <w:tab/>
      </w:r>
      <w:r w:rsidR="003B5B02" w:rsidRPr="009B4805">
        <w:rPr>
          <w:rFonts w:ascii="Arial" w:hAnsi="Arial"/>
          <w:sz w:val="20"/>
        </w:rPr>
        <w:t xml:space="preserve">The text presents and illustrates an example of how various areas of the law can affect </w:t>
      </w:r>
      <w:r w:rsidR="00655D1E" w:rsidRPr="009B4805">
        <w:rPr>
          <w:rFonts w:ascii="Arial" w:hAnsi="Arial"/>
          <w:sz w:val="20"/>
        </w:rPr>
        <w:t xml:space="preserve">different aspects of </w:t>
      </w:r>
      <w:r w:rsidR="003B5B02" w:rsidRPr="009B4805">
        <w:rPr>
          <w:rFonts w:ascii="Arial" w:hAnsi="Arial"/>
          <w:sz w:val="20"/>
        </w:rPr>
        <w:t>a business (</w:t>
      </w:r>
      <w:r w:rsidR="00655D1E" w:rsidRPr="009B4805">
        <w:rPr>
          <w:rFonts w:ascii="Arial" w:hAnsi="Arial"/>
          <w:sz w:val="20"/>
        </w:rPr>
        <w:t>Facebook</w:t>
      </w:r>
      <w:r w:rsidRPr="009B4805">
        <w:rPr>
          <w:rFonts w:ascii="Arial" w:hAnsi="Arial"/>
          <w:sz w:val="20"/>
        </w:rPr>
        <w:t>)</w:t>
      </w:r>
      <w:r w:rsidR="003B5B02" w:rsidRPr="009B4805">
        <w:rPr>
          <w:rFonts w:ascii="Arial" w:hAnsi="Arial"/>
          <w:sz w:val="20"/>
        </w:rPr>
        <w:t>.</w:t>
      </w:r>
    </w:p>
    <w:p w14:paraId="5DB2CC53" w14:textId="77777777" w:rsidR="007475A4" w:rsidRPr="009B4805" w:rsidRDefault="007475A4" w:rsidP="007475A4">
      <w:pPr>
        <w:tabs>
          <w:tab w:val="left" w:pos="1440"/>
          <w:tab w:val="left" w:pos="1620"/>
          <w:tab w:val="left" w:pos="2160"/>
          <w:tab w:val="left" w:pos="2880"/>
        </w:tabs>
        <w:ind w:left="1620" w:hanging="450"/>
        <w:jc w:val="both"/>
        <w:rPr>
          <w:rFonts w:ascii="Arial" w:hAnsi="Arial"/>
          <w:sz w:val="20"/>
        </w:rPr>
      </w:pPr>
    </w:p>
    <w:p w14:paraId="2F558550" w14:textId="77777777" w:rsidR="007475A4" w:rsidRPr="009B4805" w:rsidRDefault="007475A4" w:rsidP="007475A4">
      <w:pPr>
        <w:tabs>
          <w:tab w:val="left" w:pos="1890"/>
          <w:tab w:val="left" w:pos="2160"/>
          <w:tab w:val="left" w:pos="2880"/>
        </w:tabs>
        <w:ind w:left="1620" w:hanging="440"/>
        <w:jc w:val="both"/>
        <w:rPr>
          <w:rFonts w:ascii="Arial" w:hAnsi="Arial"/>
          <w:b/>
          <w:sz w:val="20"/>
        </w:rPr>
      </w:pPr>
      <w:r w:rsidRPr="009B4805">
        <w:rPr>
          <w:rFonts w:ascii="Arial" w:hAnsi="Arial"/>
          <w:b/>
          <w:sz w:val="20"/>
        </w:rPr>
        <w:t>2.</w:t>
      </w:r>
      <w:r w:rsidRPr="009B4805">
        <w:rPr>
          <w:rFonts w:ascii="Arial" w:hAnsi="Arial"/>
          <w:b/>
          <w:sz w:val="20"/>
        </w:rPr>
        <w:tab/>
        <w:t>Points to Consider</w:t>
      </w:r>
    </w:p>
    <w:p w14:paraId="7EE81CE2" w14:textId="77777777" w:rsidR="007475A4" w:rsidRPr="009B4805" w:rsidRDefault="007475A4" w:rsidP="007475A4">
      <w:pPr>
        <w:tabs>
          <w:tab w:val="left" w:pos="1620"/>
        </w:tabs>
        <w:ind w:left="1620" w:hanging="450"/>
        <w:jc w:val="both"/>
        <w:rPr>
          <w:rFonts w:ascii="Arial" w:hAnsi="Arial"/>
          <w:sz w:val="20"/>
        </w:rPr>
      </w:pPr>
      <w:r w:rsidRPr="009B4805">
        <w:rPr>
          <w:rFonts w:ascii="Arial" w:hAnsi="Arial"/>
          <w:sz w:val="20"/>
        </w:rPr>
        <w:tab/>
        <w:t>A businessperson should know enough about the law to know when to ask for advice.</w:t>
      </w:r>
    </w:p>
    <w:p w14:paraId="29A90D9A" w14:textId="77777777" w:rsidR="003B5B02" w:rsidRPr="009B4805" w:rsidRDefault="003B5B02" w:rsidP="003B5B02">
      <w:pPr>
        <w:tabs>
          <w:tab w:val="left" w:pos="1440"/>
          <w:tab w:val="left" w:pos="2160"/>
          <w:tab w:val="left" w:pos="2880"/>
        </w:tabs>
        <w:ind w:left="1160" w:hanging="440"/>
        <w:jc w:val="both"/>
        <w:rPr>
          <w:rFonts w:ascii="Arial" w:hAnsi="Arial"/>
          <w:sz w:val="20"/>
        </w:rPr>
      </w:pPr>
    </w:p>
    <w:p w14:paraId="557B9E64" w14:textId="77777777" w:rsidR="003B5B02" w:rsidRPr="007667C7" w:rsidRDefault="003B5B02" w:rsidP="003B5B02">
      <w:pPr>
        <w:tabs>
          <w:tab w:val="left" w:pos="1440"/>
          <w:tab w:val="left" w:pos="2160"/>
          <w:tab w:val="left" w:pos="2880"/>
        </w:tabs>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r>
      <w:r w:rsidR="00B82C24" w:rsidRPr="007667C7">
        <w:rPr>
          <w:rFonts w:ascii="Arial" w:hAnsi="Arial"/>
          <w:b/>
          <w:smallCaps/>
          <w:sz w:val="20"/>
        </w:rPr>
        <w:t>Ethics and</w:t>
      </w:r>
      <w:r w:rsidRPr="007667C7">
        <w:rPr>
          <w:rFonts w:ascii="Arial" w:hAnsi="Arial"/>
          <w:b/>
          <w:smallCaps/>
          <w:sz w:val="20"/>
        </w:rPr>
        <w:t xml:space="preserve"> Business </w:t>
      </w:r>
      <w:r w:rsidR="00B82C24" w:rsidRPr="007667C7">
        <w:rPr>
          <w:rFonts w:ascii="Arial" w:hAnsi="Arial"/>
          <w:b/>
          <w:smallCaps/>
          <w:sz w:val="20"/>
        </w:rPr>
        <w:t>Decision Making</w:t>
      </w:r>
    </w:p>
    <w:p w14:paraId="02784D2E" w14:textId="77777777" w:rsidR="003B5B02" w:rsidRPr="007667C7" w:rsidRDefault="003B5B02" w:rsidP="003B5B02">
      <w:pPr>
        <w:tabs>
          <w:tab w:val="left" w:pos="1440"/>
          <w:tab w:val="left" w:pos="2160"/>
          <w:tab w:val="left" w:pos="2880"/>
        </w:tabs>
        <w:ind w:left="1160" w:hanging="440"/>
        <w:jc w:val="both"/>
        <w:rPr>
          <w:rFonts w:ascii="Arial" w:hAnsi="Arial"/>
          <w:sz w:val="20"/>
        </w:rPr>
      </w:pPr>
      <w:r w:rsidRPr="007667C7">
        <w:rPr>
          <w:rFonts w:ascii="Arial" w:hAnsi="Arial"/>
          <w:sz w:val="20"/>
        </w:rPr>
        <w:tab/>
        <w:t>Ethics can influence business decisions.</w:t>
      </w:r>
    </w:p>
    <w:p w14:paraId="5C3591EF" w14:textId="77777777" w:rsidR="00DC54EA" w:rsidRPr="007667C7" w:rsidRDefault="00DC54EA">
      <w:pPr>
        <w:jc w:val="both"/>
        <w:rPr>
          <w:rFonts w:ascii="Arial" w:hAnsi="Arial"/>
        </w:rPr>
      </w:pPr>
    </w:p>
    <w:p w14:paraId="0E2C6ED2" w14:textId="77777777" w:rsidR="00DC54EA" w:rsidRPr="007667C7" w:rsidRDefault="00DC54EA">
      <w:pPr>
        <w:ind w:left="720" w:hanging="720"/>
        <w:jc w:val="both"/>
        <w:rPr>
          <w:rFonts w:ascii="Arial" w:hAnsi="Arial"/>
          <w:b/>
        </w:rPr>
      </w:pPr>
      <w:r w:rsidRPr="007667C7">
        <w:rPr>
          <w:rFonts w:ascii="Arial" w:hAnsi="Arial"/>
          <w:b/>
        </w:rPr>
        <w:t>II.</w:t>
      </w:r>
      <w:r w:rsidRPr="007667C7">
        <w:rPr>
          <w:rFonts w:ascii="Arial" w:hAnsi="Arial"/>
          <w:b/>
        </w:rPr>
        <w:tab/>
        <w:t>Sources of American Law</w:t>
      </w:r>
    </w:p>
    <w:p w14:paraId="59A43578" w14:textId="77777777" w:rsidR="00DC54EA" w:rsidRPr="009B4805" w:rsidRDefault="00DC54EA">
      <w:pPr>
        <w:ind w:left="1170" w:hanging="450"/>
        <w:jc w:val="both"/>
        <w:rPr>
          <w:rFonts w:ascii="Arial" w:hAnsi="Arial"/>
          <w:sz w:val="20"/>
        </w:rPr>
      </w:pPr>
    </w:p>
    <w:p w14:paraId="0BA42BDE" w14:textId="77777777" w:rsidR="00DC54EA" w:rsidRPr="007667C7" w:rsidRDefault="00DC54EA">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Constitutional Law</w:t>
      </w:r>
    </w:p>
    <w:p w14:paraId="34338D03" w14:textId="77777777" w:rsidR="00DC54EA" w:rsidRPr="007667C7" w:rsidRDefault="00DC54EA">
      <w:pPr>
        <w:ind w:left="1160" w:hanging="440"/>
        <w:jc w:val="both"/>
        <w:rPr>
          <w:rFonts w:ascii="Arial" w:hAnsi="Arial"/>
          <w:sz w:val="20"/>
        </w:rPr>
      </w:pPr>
      <w:r w:rsidRPr="007667C7">
        <w:rPr>
          <w:rFonts w:ascii="Arial" w:hAnsi="Arial"/>
          <w:sz w:val="20"/>
        </w:rPr>
        <w:tab/>
        <w:t>The federal constitution is a general document that distributes power among the branches of the government.  It is the supreme law of the land.  Any law that conflicts with it is invalid.  The states also have constitutions, but the federal constitution prevails if their provisions conflict.</w:t>
      </w:r>
    </w:p>
    <w:p w14:paraId="38B569C2" w14:textId="77777777" w:rsidR="00DC54EA" w:rsidRPr="009B4805" w:rsidRDefault="00DC54EA">
      <w:pPr>
        <w:ind w:left="1160" w:hanging="440"/>
        <w:jc w:val="both"/>
        <w:rPr>
          <w:rFonts w:ascii="Arial" w:hAnsi="Arial"/>
          <w:smallCaps/>
          <w:sz w:val="20"/>
        </w:rPr>
      </w:pPr>
    </w:p>
    <w:p w14:paraId="22A6FDC3" w14:textId="77777777" w:rsidR="00DC54EA" w:rsidRPr="007667C7" w:rsidRDefault="00DC54EA">
      <w:pPr>
        <w:ind w:left="1160" w:hanging="440"/>
        <w:jc w:val="both"/>
        <w:rPr>
          <w:rFonts w:ascii="Arial" w:hAnsi="Arial"/>
          <w:b/>
          <w:smallCaps/>
          <w:sz w:val="20"/>
        </w:rPr>
      </w:pPr>
      <w:r w:rsidRPr="007667C7">
        <w:rPr>
          <w:rFonts w:ascii="Arial" w:hAnsi="Arial"/>
          <w:b/>
          <w:smallCaps/>
          <w:sz w:val="20"/>
        </w:rPr>
        <w:t>B.</w:t>
      </w:r>
      <w:r w:rsidRPr="007667C7">
        <w:rPr>
          <w:rFonts w:ascii="Arial" w:hAnsi="Arial"/>
          <w:b/>
          <w:smallCaps/>
          <w:sz w:val="20"/>
        </w:rPr>
        <w:tab/>
        <w:t>Statutory Law</w:t>
      </w:r>
    </w:p>
    <w:p w14:paraId="7B61E3D9" w14:textId="77777777" w:rsidR="00643CBA" w:rsidRPr="007667C7" w:rsidRDefault="00DC54EA">
      <w:pPr>
        <w:tabs>
          <w:tab w:val="left" w:pos="9620"/>
        </w:tabs>
        <w:ind w:left="1160" w:hanging="440"/>
        <w:jc w:val="both"/>
        <w:rPr>
          <w:rFonts w:ascii="Arial" w:hAnsi="Arial"/>
          <w:sz w:val="20"/>
        </w:rPr>
      </w:pPr>
      <w:r w:rsidRPr="007667C7">
        <w:rPr>
          <w:rFonts w:ascii="Arial" w:hAnsi="Arial"/>
          <w:sz w:val="20"/>
        </w:rPr>
        <w:tab/>
      </w:r>
      <w:proofErr w:type="gramStart"/>
      <w:r w:rsidRPr="007667C7">
        <w:rPr>
          <w:rFonts w:ascii="Arial" w:hAnsi="Arial"/>
          <w:sz w:val="20"/>
        </w:rPr>
        <w:t>Statutes and ordinances are enacted by Congress, state legislatures, and local legislative bodies</w:t>
      </w:r>
      <w:proofErr w:type="gramEnd"/>
      <w:r w:rsidRPr="007667C7">
        <w:rPr>
          <w:rFonts w:ascii="Arial" w:hAnsi="Arial"/>
          <w:sz w:val="20"/>
        </w:rPr>
        <w:t>.  Much of the work of courts is interpreting what lawmakers meant when a law was passed and apply</w:t>
      </w:r>
      <w:r w:rsidRPr="007667C7">
        <w:rPr>
          <w:rFonts w:ascii="Arial" w:hAnsi="Arial"/>
          <w:sz w:val="20"/>
        </w:rPr>
        <w:softHyphen/>
        <w:t xml:space="preserve">ing that law to a set of facts (a case).  </w:t>
      </w:r>
    </w:p>
    <w:p w14:paraId="756EFD01" w14:textId="77777777" w:rsidR="00643CBA" w:rsidRPr="007667C7" w:rsidRDefault="00643CBA" w:rsidP="003272E2">
      <w:pPr>
        <w:tabs>
          <w:tab w:val="left" w:pos="1440"/>
          <w:tab w:val="left" w:pos="1620"/>
          <w:tab w:val="left" w:pos="2160"/>
          <w:tab w:val="left" w:pos="2880"/>
        </w:tabs>
        <w:ind w:left="1620" w:hanging="450"/>
        <w:jc w:val="both"/>
        <w:rPr>
          <w:rFonts w:ascii="Arial" w:hAnsi="Arial"/>
          <w:sz w:val="20"/>
        </w:rPr>
      </w:pPr>
    </w:p>
    <w:p w14:paraId="3DED1543" w14:textId="77777777" w:rsidR="00643CBA" w:rsidRPr="007667C7" w:rsidRDefault="00643CBA" w:rsidP="00643CBA">
      <w:pPr>
        <w:tabs>
          <w:tab w:val="left" w:pos="1890"/>
          <w:tab w:val="left" w:pos="2160"/>
          <w:tab w:val="left" w:pos="2880"/>
        </w:tabs>
        <w:ind w:left="1620" w:hanging="440"/>
        <w:jc w:val="both"/>
        <w:rPr>
          <w:rFonts w:ascii="Arial" w:hAnsi="Arial"/>
          <w:b/>
          <w:sz w:val="20"/>
        </w:rPr>
      </w:pPr>
      <w:r w:rsidRPr="007667C7">
        <w:rPr>
          <w:rFonts w:ascii="Arial" w:hAnsi="Arial"/>
          <w:b/>
          <w:sz w:val="20"/>
        </w:rPr>
        <w:t>1.</w:t>
      </w:r>
      <w:r w:rsidRPr="007667C7">
        <w:rPr>
          <w:rFonts w:ascii="Arial" w:hAnsi="Arial"/>
          <w:b/>
          <w:sz w:val="20"/>
        </w:rPr>
        <w:tab/>
        <w:t>Uniform Laws</w:t>
      </w:r>
    </w:p>
    <w:p w14:paraId="4B557598" w14:textId="77777777" w:rsidR="00643CBA" w:rsidRPr="007667C7" w:rsidRDefault="00643CBA" w:rsidP="00643CBA">
      <w:pPr>
        <w:pStyle w:val="BodyTextIndent"/>
        <w:tabs>
          <w:tab w:val="left" w:pos="1890"/>
        </w:tabs>
        <w:ind w:left="1620"/>
        <w:rPr>
          <w:rFonts w:ascii="Arial" w:hAnsi="Arial"/>
        </w:rPr>
      </w:pPr>
      <w:r w:rsidRPr="007667C7">
        <w:rPr>
          <w:rFonts w:ascii="Arial" w:hAnsi="Arial"/>
        </w:rPr>
        <w:t xml:space="preserve"> </w:t>
      </w:r>
      <w:r w:rsidRPr="007667C7">
        <w:rPr>
          <w:rFonts w:ascii="Arial" w:hAnsi="Arial"/>
        </w:rPr>
        <w:tab/>
        <w:t>Panels of experts and scholars create uniform laws that any state’s legislature can adopt.</w:t>
      </w:r>
    </w:p>
    <w:p w14:paraId="288D2249" w14:textId="77777777" w:rsidR="00643CBA" w:rsidRPr="007667C7" w:rsidRDefault="00643CBA" w:rsidP="00643CBA">
      <w:pPr>
        <w:tabs>
          <w:tab w:val="left" w:pos="1440"/>
          <w:tab w:val="left" w:pos="1890"/>
          <w:tab w:val="left" w:pos="2160"/>
          <w:tab w:val="left" w:pos="2880"/>
        </w:tabs>
        <w:ind w:left="1620" w:hanging="440"/>
        <w:jc w:val="both"/>
        <w:rPr>
          <w:rFonts w:ascii="Arial" w:hAnsi="Arial"/>
          <w:sz w:val="20"/>
        </w:rPr>
      </w:pPr>
    </w:p>
    <w:p w14:paraId="49690ABC" w14:textId="77777777" w:rsidR="00643CBA" w:rsidRPr="007667C7" w:rsidRDefault="00643CBA" w:rsidP="00643CBA">
      <w:pPr>
        <w:tabs>
          <w:tab w:val="left" w:pos="1890"/>
          <w:tab w:val="left" w:pos="2160"/>
          <w:tab w:val="left" w:pos="2880"/>
        </w:tabs>
        <w:ind w:left="1620" w:hanging="440"/>
        <w:jc w:val="both"/>
        <w:rPr>
          <w:rFonts w:ascii="Arial" w:hAnsi="Arial"/>
          <w:b/>
          <w:sz w:val="20"/>
        </w:rPr>
      </w:pPr>
      <w:r w:rsidRPr="007667C7">
        <w:rPr>
          <w:rFonts w:ascii="Arial" w:hAnsi="Arial"/>
          <w:b/>
          <w:sz w:val="20"/>
        </w:rPr>
        <w:t>2.</w:t>
      </w:r>
      <w:r w:rsidRPr="007667C7">
        <w:rPr>
          <w:rFonts w:ascii="Arial" w:hAnsi="Arial"/>
          <w:b/>
          <w:sz w:val="20"/>
        </w:rPr>
        <w:tab/>
        <w:t>The Uniform Commercial Code</w:t>
      </w:r>
    </w:p>
    <w:p w14:paraId="5DCD9B52" w14:textId="77777777" w:rsidR="00643CBA" w:rsidRPr="007667C7" w:rsidRDefault="00643CBA" w:rsidP="00643CBA">
      <w:pPr>
        <w:pStyle w:val="BodyTextIndent"/>
        <w:tabs>
          <w:tab w:val="left" w:pos="1890"/>
        </w:tabs>
        <w:ind w:left="1620"/>
        <w:rPr>
          <w:rFonts w:ascii="Arial" w:hAnsi="Arial"/>
        </w:rPr>
      </w:pPr>
      <w:r w:rsidRPr="007667C7">
        <w:rPr>
          <w:rFonts w:ascii="Arial" w:hAnsi="Arial"/>
        </w:rPr>
        <w:tab/>
        <w:t>The Uniform Commercial Code (UCC) provides a uniform flexible set of rules that govern most commercial transactions. The UCC has been adopted by all the states (only in part in Louisiana), the District of Columbia, and the Virgin Islands.</w:t>
      </w:r>
    </w:p>
    <w:p w14:paraId="33CC8E81" w14:textId="77777777" w:rsidR="00DC54EA" w:rsidRPr="007667C7" w:rsidRDefault="00DC54EA">
      <w:pPr>
        <w:tabs>
          <w:tab w:val="left" w:pos="720"/>
        </w:tabs>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6450CC2C" w14:textId="77777777">
        <w:tc>
          <w:tcPr>
            <w:tcW w:w="10440" w:type="dxa"/>
            <w:tcBorders>
              <w:top w:val="single" w:sz="12" w:space="0" w:color="auto"/>
              <w:left w:val="single" w:sz="12" w:space="0" w:color="auto"/>
              <w:right w:val="single" w:sz="12" w:space="0" w:color="auto"/>
            </w:tcBorders>
          </w:tcPr>
          <w:p w14:paraId="4983AC0D" w14:textId="77777777" w:rsidR="00DC54EA" w:rsidRPr="007667C7" w:rsidRDefault="00DC54EA">
            <w:pPr>
              <w:ind w:left="360" w:right="200"/>
              <w:jc w:val="center"/>
              <w:rPr>
                <w:rFonts w:ascii="Arial" w:hAnsi="Arial"/>
                <w:b/>
                <w:sz w:val="14"/>
              </w:rPr>
            </w:pPr>
          </w:p>
          <w:p w14:paraId="5B6C499C" w14:textId="77777777" w:rsidR="00DC54EA" w:rsidRPr="009A13E9" w:rsidRDefault="00DC54EA">
            <w:pPr>
              <w:ind w:left="360" w:right="200"/>
              <w:jc w:val="center"/>
              <w:rPr>
                <w:rFonts w:ascii="New Century Schlbk" w:hAnsi="New Century Schlbk"/>
                <w:sz w:val="20"/>
              </w:rPr>
            </w:pPr>
            <w:r w:rsidRPr="007667C7">
              <w:rPr>
                <w:rFonts w:ascii="Arial" w:hAnsi="Arial"/>
                <w:b/>
                <w:smallCaps/>
                <w:sz w:val="20"/>
              </w:rPr>
              <w:t>Additional Background—</w:t>
            </w:r>
          </w:p>
        </w:tc>
      </w:tr>
      <w:tr w:rsidR="00DC54EA" w:rsidRPr="007667C7" w14:paraId="74D78940" w14:textId="77777777">
        <w:tc>
          <w:tcPr>
            <w:tcW w:w="10440" w:type="dxa"/>
            <w:tcBorders>
              <w:left w:val="single" w:sz="12" w:space="0" w:color="auto"/>
              <w:right w:val="single" w:sz="12" w:space="0" w:color="auto"/>
            </w:tcBorders>
          </w:tcPr>
          <w:p w14:paraId="0AB5A069" w14:textId="77777777" w:rsidR="00DC54EA" w:rsidRPr="009A13E9" w:rsidRDefault="00DC54EA">
            <w:pPr>
              <w:ind w:left="360" w:right="200"/>
              <w:jc w:val="center"/>
              <w:rPr>
                <w:rFonts w:ascii="New Century Schlbk" w:hAnsi="New Century Schlbk"/>
                <w:sz w:val="20"/>
              </w:rPr>
            </w:pPr>
          </w:p>
        </w:tc>
      </w:tr>
      <w:tr w:rsidR="00DC54EA" w:rsidRPr="009A13E9" w14:paraId="42508057" w14:textId="77777777">
        <w:tc>
          <w:tcPr>
            <w:tcW w:w="10440" w:type="dxa"/>
            <w:tcBorders>
              <w:left w:val="single" w:sz="12" w:space="0" w:color="auto"/>
              <w:right w:val="single" w:sz="12" w:space="0" w:color="auto"/>
            </w:tcBorders>
          </w:tcPr>
          <w:p w14:paraId="0BB9436E" w14:textId="77777777" w:rsidR="00DC54EA" w:rsidRPr="007667C7" w:rsidRDefault="00DC54EA">
            <w:pPr>
              <w:ind w:left="360" w:right="200"/>
              <w:jc w:val="center"/>
              <w:rPr>
                <w:rFonts w:ascii="Arial" w:hAnsi="Arial"/>
                <w:b/>
              </w:rPr>
            </w:pPr>
            <w:r w:rsidRPr="007667C7">
              <w:rPr>
                <w:rFonts w:ascii="Arial" w:hAnsi="Arial"/>
                <w:b/>
              </w:rPr>
              <w:t>National Conference of Commissioners on Uniform State Laws,</w:t>
            </w:r>
          </w:p>
          <w:p w14:paraId="5D5C8B15" w14:textId="77777777" w:rsidR="00DC54EA" w:rsidRPr="009A13E9" w:rsidRDefault="00DC54EA">
            <w:pPr>
              <w:ind w:left="360" w:right="200"/>
              <w:jc w:val="center"/>
              <w:rPr>
                <w:rFonts w:ascii="New Century Schlbk" w:hAnsi="New Century Schlbk"/>
                <w:sz w:val="14"/>
              </w:rPr>
            </w:pPr>
            <w:r w:rsidRPr="007667C7">
              <w:rPr>
                <w:rFonts w:ascii="Arial" w:hAnsi="Arial"/>
                <w:b/>
              </w:rPr>
              <w:t>Co-sponsor of the Uniform Commercial Code</w:t>
            </w:r>
          </w:p>
        </w:tc>
      </w:tr>
      <w:tr w:rsidR="00DC54EA" w:rsidRPr="007667C7" w14:paraId="4CCEC85C" w14:textId="77777777">
        <w:tc>
          <w:tcPr>
            <w:tcW w:w="10440" w:type="dxa"/>
            <w:tcBorders>
              <w:left w:val="single" w:sz="12" w:space="0" w:color="auto"/>
              <w:right w:val="single" w:sz="12" w:space="0" w:color="auto"/>
            </w:tcBorders>
          </w:tcPr>
          <w:p w14:paraId="25587009" w14:textId="77777777" w:rsidR="00DC54EA" w:rsidRPr="009A13E9" w:rsidRDefault="00DC54EA">
            <w:pPr>
              <w:pStyle w:val="Boxtext"/>
              <w:spacing w:line="240" w:lineRule="auto"/>
            </w:pPr>
          </w:p>
        </w:tc>
      </w:tr>
      <w:tr w:rsidR="00DC54EA" w:rsidRPr="009A13E9" w14:paraId="17A2DEE5" w14:textId="77777777">
        <w:tc>
          <w:tcPr>
            <w:tcW w:w="10440" w:type="dxa"/>
            <w:tcBorders>
              <w:left w:val="single" w:sz="12" w:space="0" w:color="auto"/>
              <w:right w:val="single" w:sz="12" w:space="0" w:color="auto"/>
            </w:tcBorders>
          </w:tcPr>
          <w:p w14:paraId="33E94904" w14:textId="77777777" w:rsidR="00DC54EA" w:rsidRPr="009A13E9" w:rsidRDefault="00DC54EA">
            <w:pPr>
              <w:ind w:left="360" w:right="200"/>
              <w:jc w:val="both"/>
              <w:rPr>
                <w:rFonts w:ascii="New Century Schlbk" w:hAnsi="New Century Schlbk"/>
                <w:sz w:val="20"/>
              </w:rPr>
            </w:pPr>
            <w:r w:rsidRPr="009A13E9">
              <w:rPr>
                <w:sz w:val="20"/>
              </w:rPr>
              <w:tab/>
            </w:r>
            <w:r w:rsidRPr="007667C7">
              <w:rPr>
                <w:rFonts w:ascii="Arial" w:hAnsi="Arial"/>
                <w:sz w:val="20"/>
              </w:rPr>
              <w:t xml:space="preserve">As explained in the text, the Uniform Commercial Code (UCC) is an ambitious codification of commercial common law principles.  The UCC has been the most widely adopted, and thus the most successful, of the many uniform and model acts that have been drafted.  The </w:t>
            </w:r>
            <w:r w:rsidRPr="007667C7">
              <w:rPr>
                <w:rFonts w:ascii="Arial" w:hAnsi="Arial"/>
                <w:b/>
                <w:sz w:val="20"/>
              </w:rPr>
              <w:t xml:space="preserve">National Conference of Commissioners on Uniform State Laws </w:t>
            </w:r>
            <w:r w:rsidRPr="007667C7">
              <w:rPr>
                <w:rFonts w:ascii="Arial" w:hAnsi="Arial"/>
                <w:sz w:val="20"/>
              </w:rPr>
              <w:t xml:space="preserve">is responsible for many of these acts.  The National Conference of Commissioners on </w:t>
            </w:r>
            <w:r w:rsidRPr="007667C7">
              <w:rPr>
                <w:rFonts w:ascii="Arial" w:hAnsi="Arial"/>
                <w:sz w:val="20"/>
              </w:rPr>
              <w:lastRenderedPageBreak/>
              <w:t>Uniform State Laws is an organization of state commissioners ap</w:t>
            </w:r>
            <w:r w:rsidRPr="007667C7">
              <w:rPr>
                <w:rFonts w:ascii="Arial" w:hAnsi="Arial"/>
                <w:sz w:val="20"/>
              </w:rPr>
              <w:softHyphen/>
              <w:t>pointed by the governor of each state, the District of Columbia, and Puerto Rico.  Their goal is to pro</w:t>
            </w:r>
            <w:r w:rsidRPr="007667C7">
              <w:rPr>
                <w:rFonts w:ascii="Arial" w:hAnsi="Arial"/>
                <w:sz w:val="20"/>
              </w:rPr>
              <w:softHyphen/>
              <w:t>mote uniformity in state law where uniformity is desirable.  The purpose is to alleviate problems that arise in an increasingly interdependent society in which a single transaction may cross many states.  Financial support comes from state grants.  The members meet annually to consider drafts of pro</w:t>
            </w:r>
            <w:r w:rsidRPr="007667C7">
              <w:rPr>
                <w:rFonts w:ascii="Arial" w:hAnsi="Arial"/>
                <w:sz w:val="20"/>
              </w:rPr>
              <w:softHyphen/>
              <w:t>posed legislation.  The American Law Institute works with the National Conference of Commissioners on Uniform State Laws on some of the uniform state laws.</w:t>
            </w:r>
          </w:p>
        </w:tc>
      </w:tr>
      <w:tr w:rsidR="00DC54EA" w:rsidRPr="007667C7" w14:paraId="65CFA5D3" w14:textId="77777777">
        <w:tc>
          <w:tcPr>
            <w:tcW w:w="10440" w:type="dxa"/>
            <w:tcBorders>
              <w:left w:val="single" w:sz="12" w:space="0" w:color="auto"/>
              <w:bottom w:val="single" w:sz="12" w:space="0" w:color="auto"/>
              <w:right w:val="single" w:sz="12" w:space="0" w:color="auto"/>
            </w:tcBorders>
          </w:tcPr>
          <w:p w14:paraId="5E4DB2C2" w14:textId="77777777" w:rsidR="00DC54EA" w:rsidRPr="007667C7" w:rsidRDefault="00DC54EA">
            <w:pPr>
              <w:ind w:left="360" w:right="200"/>
              <w:jc w:val="both"/>
              <w:rPr>
                <w:rFonts w:ascii="Arial" w:hAnsi="Arial"/>
                <w:sz w:val="20"/>
              </w:rPr>
            </w:pPr>
          </w:p>
        </w:tc>
      </w:tr>
    </w:tbl>
    <w:p w14:paraId="6A197853" w14:textId="77777777" w:rsidR="00DC54EA" w:rsidRPr="007667C7" w:rsidRDefault="00DC54EA">
      <w:pPr>
        <w:jc w:val="both"/>
        <w:rPr>
          <w:rFonts w:ascii="Arial" w:hAnsi="Arial"/>
          <w:sz w:val="20"/>
        </w:rPr>
      </w:pPr>
    </w:p>
    <w:p w14:paraId="6E29FED6" w14:textId="77777777" w:rsidR="00DC54EA" w:rsidRPr="007667C7" w:rsidRDefault="00DC54EA">
      <w:pPr>
        <w:ind w:left="1160" w:hanging="440"/>
        <w:jc w:val="both"/>
        <w:rPr>
          <w:rFonts w:ascii="Arial" w:hAnsi="Arial"/>
          <w:b/>
          <w:smallCaps/>
          <w:sz w:val="20"/>
        </w:rPr>
      </w:pPr>
      <w:r w:rsidRPr="007667C7">
        <w:rPr>
          <w:rFonts w:ascii="Arial" w:hAnsi="Arial"/>
          <w:b/>
          <w:smallCaps/>
          <w:sz w:val="20"/>
        </w:rPr>
        <w:t>C.</w:t>
      </w:r>
      <w:r w:rsidRPr="007667C7">
        <w:rPr>
          <w:rFonts w:ascii="Arial" w:hAnsi="Arial"/>
          <w:b/>
          <w:smallCaps/>
          <w:sz w:val="20"/>
        </w:rPr>
        <w:tab/>
        <w:t>Administrative Law</w:t>
      </w:r>
    </w:p>
    <w:p w14:paraId="5C224D27" w14:textId="77777777" w:rsidR="00DC54EA" w:rsidRPr="007667C7" w:rsidRDefault="00DC54EA">
      <w:pPr>
        <w:pStyle w:val="BodyTextIndent"/>
        <w:rPr>
          <w:rFonts w:ascii="Arial" w:hAnsi="Arial"/>
        </w:rPr>
      </w:pPr>
      <w:r w:rsidRPr="007667C7">
        <w:rPr>
          <w:rFonts w:ascii="Arial" w:hAnsi="Arial"/>
        </w:rPr>
        <w:tab/>
        <w:t>Administrative law consists of the rules, orders, and decision</w:t>
      </w:r>
      <w:r w:rsidR="007E23CF" w:rsidRPr="007667C7">
        <w:rPr>
          <w:rFonts w:ascii="Arial" w:hAnsi="Arial"/>
        </w:rPr>
        <w:t>s of administrative agencies.</w:t>
      </w:r>
    </w:p>
    <w:p w14:paraId="2AF6C349"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20"/>
        </w:rPr>
      </w:pPr>
    </w:p>
    <w:p w14:paraId="57AE937F" w14:textId="77777777" w:rsidR="00CF5D86" w:rsidRPr="009B4805" w:rsidRDefault="00CF5D86" w:rsidP="00CF5D86">
      <w:pPr>
        <w:tabs>
          <w:tab w:val="left" w:pos="1890"/>
          <w:tab w:val="left" w:pos="2160"/>
          <w:tab w:val="left" w:pos="2880"/>
        </w:tabs>
        <w:ind w:left="1620" w:hanging="440"/>
        <w:jc w:val="both"/>
        <w:rPr>
          <w:rFonts w:ascii="Arial" w:hAnsi="Arial"/>
          <w:b/>
          <w:sz w:val="20"/>
        </w:rPr>
      </w:pPr>
      <w:r w:rsidRPr="009B4805">
        <w:rPr>
          <w:rFonts w:ascii="Arial" w:hAnsi="Arial"/>
          <w:b/>
          <w:sz w:val="20"/>
        </w:rPr>
        <w:t>1.</w:t>
      </w:r>
      <w:r w:rsidRPr="009B4805">
        <w:rPr>
          <w:rFonts w:ascii="Arial" w:hAnsi="Arial"/>
          <w:b/>
          <w:sz w:val="20"/>
        </w:rPr>
        <w:tab/>
        <w:t>Federal Agencies</w:t>
      </w:r>
    </w:p>
    <w:p w14:paraId="5F5D5004" w14:textId="77777777" w:rsidR="00CF5D86" w:rsidRPr="009B4805" w:rsidRDefault="00CF5D86" w:rsidP="00CF5D86">
      <w:pPr>
        <w:pStyle w:val="BodyTextIndent"/>
        <w:tabs>
          <w:tab w:val="left" w:pos="1890"/>
        </w:tabs>
        <w:ind w:left="1620"/>
        <w:rPr>
          <w:rFonts w:ascii="Arial" w:hAnsi="Arial"/>
        </w:rPr>
      </w:pPr>
      <w:r w:rsidRPr="009B4805">
        <w:rPr>
          <w:rFonts w:ascii="Arial" w:hAnsi="Arial"/>
        </w:rPr>
        <w:t xml:space="preserve"> </w:t>
      </w:r>
      <w:r w:rsidRPr="009B4805">
        <w:rPr>
          <w:rFonts w:ascii="Arial" w:hAnsi="Arial"/>
        </w:rPr>
        <w:tab/>
        <w:t>Executive agencies within the cabinet departments of the executive branch are subject to the power of the president to appoint and remove their officers. The officers of independent agencies serve fixed terms and cannot be removed without just cause.</w:t>
      </w:r>
    </w:p>
    <w:p w14:paraId="19D3A457" w14:textId="77777777" w:rsidR="00CF5D86" w:rsidRPr="009B4805" w:rsidRDefault="00CF5D86" w:rsidP="00CF5D86">
      <w:pPr>
        <w:tabs>
          <w:tab w:val="left" w:pos="1440"/>
          <w:tab w:val="left" w:pos="1890"/>
          <w:tab w:val="left" w:pos="2160"/>
          <w:tab w:val="left" w:pos="2880"/>
        </w:tabs>
        <w:ind w:left="1620" w:hanging="440"/>
        <w:jc w:val="both"/>
        <w:rPr>
          <w:rFonts w:ascii="Arial" w:hAnsi="Arial"/>
          <w:sz w:val="20"/>
        </w:rPr>
      </w:pPr>
    </w:p>
    <w:p w14:paraId="67544CE2" w14:textId="77777777" w:rsidR="00CF5D86" w:rsidRPr="009B4805" w:rsidRDefault="00CF5D86" w:rsidP="00CF5D86">
      <w:pPr>
        <w:tabs>
          <w:tab w:val="left" w:pos="1890"/>
          <w:tab w:val="left" w:pos="2160"/>
          <w:tab w:val="left" w:pos="2880"/>
        </w:tabs>
        <w:ind w:left="1620" w:hanging="440"/>
        <w:jc w:val="both"/>
        <w:rPr>
          <w:rFonts w:ascii="Arial" w:hAnsi="Arial"/>
          <w:b/>
          <w:sz w:val="20"/>
        </w:rPr>
      </w:pPr>
      <w:r w:rsidRPr="009B4805">
        <w:rPr>
          <w:rFonts w:ascii="Arial" w:hAnsi="Arial"/>
          <w:b/>
          <w:sz w:val="20"/>
        </w:rPr>
        <w:t>2.</w:t>
      </w:r>
      <w:r w:rsidRPr="009B4805">
        <w:rPr>
          <w:rFonts w:ascii="Arial" w:hAnsi="Arial"/>
          <w:b/>
          <w:sz w:val="20"/>
        </w:rPr>
        <w:tab/>
        <w:t>State and Local Agencies</w:t>
      </w:r>
    </w:p>
    <w:p w14:paraId="28166B8B" w14:textId="77777777" w:rsidR="00CF5D86" w:rsidRPr="009B4805" w:rsidRDefault="00CF5D86" w:rsidP="00CF5D86">
      <w:pPr>
        <w:pStyle w:val="BodyTextIndent"/>
        <w:tabs>
          <w:tab w:val="left" w:pos="1890"/>
        </w:tabs>
        <w:ind w:left="1620"/>
        <w:rPr>
          <w:rFonts w:ascii="Arial" w:hAnsi="Arial"/>
        </w:rPr>
      </w:pPr>
      <w:r w:rsidRPr="009B4805">
        <w:rPr>
          <w:rFonts w:ascii="Arial" w:hAnsi="Arial"/>
        </w:rPr>
        <w:tab/>
        <w:t>These agencies are often parallel federal agencies in areas of expertise and subjects of regulation. Federal rules that conflict with state rules take precedence.</w:t>
      </w:r>
    </w:p>
    <w:p w14:paraId="7F288D7B" w14:textId="77777777" w:rsidR="00DC54EA" w:rsidRPr="009B4805" w:rsidRDefault="00DC54EA">
      <w:pPr>
        <w:ind w:left="1160" w:hanging="440"/>
        <w:jc w:val="both"/>
        <w:rPr>
          <w:rFonts w:ascii="Arial" w:hAnsi="Arial"/>
          <w:sz w:val="20"/>
        </w:rPr>
      </w:pPr>
    </w:p>
    <w:p w14:paraId="51C8ADA8" w14:textId="77777777" w:rsidR="00DC54EA" w:rsidRPr="009B4805" w:rsidRDefault="00DC54EA">
      <w:pPr>
        <w:ind w:left="1160" w:hanging="440"/>
        <w:jc w:val="both"/>
        <w:rPr>
          <w:rFonts w:ascii="Arial" w:hAnsi="Arial"/>
          <w:b/>
          <w:smallCaps/>
          <w:sz w:val="20"/>
        </w:rPr>
      </w:pPr>
      <w:r w:rsidRPr="009B4805">
        <w:rPr>
          <w:rFonts w:ascii="Arial" w:hAnsi="Arial"/>
          <w:b/>
          <w:smallCaps/>
          <w:sz w:val="20"/>
        </w:rPr>
        <w:t>D.</w:t>
      </w:r>
      <w:r w:rsidRPr="009B4805">
        <w:rPr>
          <w:rFonts w:ascii="Arial" w:hAnsi="Arial"/>
          <w:b/>
          <w:smallCaps/>
          <w:sz w:val="20"/>
        </w:rPr>
        <w:tab/>
        <w:t>Case Law and Common Law Doctrines</w:t>
      </w:r>
    </w:p>
    <w:p w14:paraId="1ABAD72E" w14:textId="77777777" w:rsidR="00C0181F" w:rsidRPr="009B4805" w:rsidRDefault="00DC54EA" w:rsidP="00A07A74">
      <w:pPr>
        <w:tabs>
          <w:tab w:val="left" w:pos="440"/>
        </w:tabs>
        <w:ind w:left="1160"/>
        <w:jc w:val="both"/>
        <w:rPr>
          <w:rFonts w:ascii="Arial" w:hAnsi="Arial"/>
          <w:b/>
          <w:sz w:val="20"/>
        </w:rPr>
      </w:pPr>
      <w:r w:rsidRPr="009B4805">
        <w:rPr>
          <w:rFonts w:ascii="Arial" w:hAnsi="Arial"/>
          <w:sz w:val="20"/>
        </w:rPr>
        <w:t>Another basic source of American law consists of the rules of law announced in court decisions.  These rules include judicial interpretations of constitutional provisions, of statutes enacted by legislatures, and of regulations created by administrative agencies.</w:t>
      </w:r>
    </w:p>
    <w:p w14:paraId="0CDDCEB0" w14:textId="77777777" w:rsidR="00C0181F" w:rsidRPr="007667C7" w:rsidRDefault="00C0181F">
      <w:pPr>
        <w:jc w:val="both"/>
        <w:rPr>
          <w:rFonts w:ascii="Arial" w:hAnsi="Arial"/>
        </w:rPr>
      </w:pPr>
    </w:p>
    <w:p w14:paraId="344EFAA6" w14:textId="77777777" w:rsidR="00DC54EA" w:rsidRPr="007667C7" w:rsidRDefault="00DC54EA">
      <w:pPr>
        <w:ind w:left="720" w:hanging="720"/>
        <w:jc w:val="both"/>
        <w:rPr>
          <w:rFonts w:ascii="Arial" w:hAnsi="Arial"/>
          <w:b/>
        </w:rPr>
      </w:pPr>
      <w:r w:rsidRPr="007667C7">
        <w:rPr>
          <w:rFonts w:ascii="Arial" w:hAnsi="Arial"/>
          <w:b/>
        </w:rPr>
        <w:t>III.</w:t>
      </w:r>
      <w:r w:rsidRPr="007667C7">
        <w:rPr>
          <w:rFonts w:ascii="Arial" w:hAnsi="Arial"/>
          <w:b/>
        </w:rPr>
        <w:tab/>
        <w:t>The Common Law Tradition</w:t>
      </w:r>
    </w:p>
    <w:p w14:paraId="54F27B6F" w14:textId="77777777" w:rsidR="00DC54EA" w:rsidRPr="007667C7" w:rsidRDefault="00DC54EA">
      <w:pPr>
        <w:ind w:left="720" w:hanging="720"/>
        <w:jc w:val="both"/>
        <w:rPr>
          <w:rFonts w:ascii="Arial" w:hAnsi="Arial"/>
          <w:sz w:val="20"/>
        </w:rPr>
      </w:pPr>
      <w:r w:rsidRPr="007667C7">
        <w:rPr>
          <w:rFonts w:ascii="Arial" w:hAnsi="Arial"/>
          <w:sz w:val="20"/>
        </w:rPr>
        <w:tab/>
        <w:t>American law is based on the English common law legal system. Knowledge of this tradition is necessary to students’ understanding of the nature of our legal system.</w:t>
      </w:r>
    </w:p>
    <w:p w14:paraId="757635F3" w14:textId="77777777" w:rsidR="00DC54EA" w:rsidRPr="007667C7" w:rsidRDefault="00DC54EA">
      <w:pPr>
        <w:ind w:left="1160" w:hanging="440"/>
        <w:jc w:val="both"/>
        <w:rPr>
          <w:rFonts w:ascii="Arial" w:hAnsi="Arial"/>
          <w:b/>
          <w:smallCaps/>
          <w:sz w:val="20"/>
        </w:rPr>
      </w:pPr>
    </w:p>
    <w:p w14:paraId="5300A94E" w14:textId="77777777" w:rsidR="00DC54EA" w:rsidRPr="007667C7" w:rsidRDefault="00DC54EA">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Early English Courts</w:t>
      </w:r>
    </w:p>
    <w:p w14:paraId="5B6C0341" w14:textId="77777777" w:rsidR="00DC54EA" w:rsidRPr="007667C7" w:rsidRDefault="00DC54EA">
      <w:pPr>
        <w:ind w:left="1160" w:hanging="440"/>
        <w:jc w:val="both"/>
        <w:rPr>
          <w:rFonts w:ascii="Arial" w:hAnsi="Arial"/>
          <w:sz w:val="20"/>
        </w:rPr>
      </w:pPr>
      <w:r w:rsidRPr="007667C7">
        <w:rPr>
          <w:rFonts w:ascii="Arial" w:hAnsi="Arial"/>
          <w:sz w:val="20"/>
        </w:rPr>
        <w:tab/>
        <w:t>The English system unified its local courts in 1066.  This unified system, based on the decisions judges make in cases, is the common law sys</w:t>
      </w:r>
      <w:r w:rsidRPr="007667C7">
        <w:rPr>
          <w:rFonts w:ascii="Arial" w:hAnsi="Arial"/>
          <w:sz w:val="20"/>
        </w:rPr>
        <w:softHyphen/>
        <w:t>tem.</w:t>
      </w:r>
    </w:p>
    <w:p w14:paraId="59C5C05C"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12716AE8" w14:textId="77777777" w:rsidR="00DC54EA" w:rsidRPr="007667C7" w:rsidRDefault="00DC54EA">
      <w:pPr>
        <w:ind w:left="1620" w:hanging="440"/>
        <w:jc w:val="both"/>
        <w:rPr>
          <w:rFonts w:ascii="Arial" w:hAnsi="Arial"/>
          <w:b/>
          <w:sz w:val="20"/>
        </w:rPr>
      </w:pPr>
      <w:r w:rsidRPr="007667C7">
        <w:rPr>
          <w:rFonts w:ascii="Arial" w:hAnsi="Arial"/>
          <w:b/>
          <w:sz w:val="20"/>
        </w:rPr>
        <w:t>1.</w:t>
      </w:r>
      <w:r w:rsidRPr="007667C7">
        <w:rPr>
          <w:rFonts w:ascii="Arial" w:hAnsi="Arial"/>
          <w:b/>
          <w:sz w:val="20"/>
        </w:rPr>
        <w:tab/>
        <w:t>Courts of Law and Remedies at Law</w:t>
      </w:r>
    </w:p>
    <w:p w14:paraId="241F05D3" w14:textId="77777777" w:rsidR="00DC54EA" w:rsidRPr="007667C7" w:rsidRDefault="00DC54EA">
      <w:pPr>
        <w:ind w:left="1620" w:hanging="440"/>
        <w:jc w:val="both"/>
        <w:rPr>
          <w:rFonts w:ascii="Arial" w:hAnsi="Arial"/>
          <w:sz w:val="20"/>
        </w:rPr>
      </w:pPr>
      <w:r w:rsidRPr="007667C7">
        <w:rPr>
          <w:rFonts w:ascii="Arial" w:hAnsi="Arial"/>
          <w:b/>
          <w:sz w:val="20"/>
        </w:rPr>
        <w:tab/>
      </w:r>
      <w:r w:rsidRPr="007667C7">
        <w:rPr>
          <w:rFonts w:ascii="Arial" w:hAnsi="Arial"/>
          <w:sz w:val="20"/>
        </w:rPr>
        <w:t>A court of law is limited to awarding payments of money or property as compensation.</w:t>
      </w:r>
    </w:p>
    <w:p w14:paraId="552F2453"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0C917898" w14:textId="77777777" w:rsidR="00DC54EA" w:rsidRPr="007667C7" w:rsidRDefault="00912F75">
      <w:pPr>
        <w:ind w:left="1620" w:hanging="440"/>
        <w:jc w:val="both"/>
        <w:rPr>
          <w:rFonts w:ascii="Arial" w:hAnsi="Arial"/>
          <w:b/>
          <w:sz w:val="20"/>
        </w:rPr>
      </w:pPr>
      <w:r w:rsidRPr="007667C7">
        <w:rPr>
          <w:rFonts w:ascii="Arial" w:hAnsi="Arial"/>
          <w:b/>
          <w:sz w:val="20"/>
        </w:rPr>
        <w:t>2.</w:t>
      </w:r>
      <w:r w:rsidRPr="007667C7">
        <w:rPr>
          <w:rFonts w:ascii="Arial" w:hAnsi="Arial"/>
          <w:b/>
          <w:sz w:val="20"/>
        </w:rPr>
        <w:tab/>
        <w:t>Courts of Equity</w:t>
      </w:r>
    </w:p>
    <w:p w14:paraId="43CC1D09" w14:textId="77777777" w:rsidR="00DC54EA" w:rsidRPr="007667C7" w:rsidRDefault="00DC54EA">
      <w:pPr>
        <w:ind w:left="1620" w:hanging="440"/>
        <w:jc w:val="both"/>
        <w:rPr>
          <w:rFonts w:ascii="Arial" w:hAnsi="Arial"/>
          <w:sz w:val="20"/>
        </w:rPr>
      </w:pPr>
      <w:r w:rsidRPr="007667C7">
        <w:rPr>
          <w:rFonts w:ascii="Arial" w:hAnsi="Arial"/>
          <w:b/>
          <w:sz w:val="20"/>
        </w:rPr>
        <w:tab/>
      </w:r>
      <w:r w:rsidRPr="007667C7">
        <w:rPr>
          <w:rFonts w:ascii="Arial" w:hAnsi="Arial"/>
          <w:sz w:val="20"/>
        </w:rPr>
        <w:t>Equity is a branch of unwritten law, which was founded in justice and fair dealing, and seeks to supply a fairer and more adequa</w:t>
      </w:r>
      <w:r w:rsidR="00912F75" w:rsidRPr="007667C7">
        <w:rPr>
          <w:rFonts w:ascii="Arial" w:hAnsi="Arial"/>
          <w:sz w:val="20"/>
        </w:rPr>
        <w:t>te remedy than a remedy at law.</w:t>
      </w:r>
    </w:p>
    <w:p w14:paraId="0882B67E"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199FB98C" w14:textId="77777777" w:rsidR="00912F75" w:rsidRPr="007667C7" w:rsidRDefault="00912F75" w:rsidP="00912F75">
      <w:pPr>
        <w:ind w:left="1620" w:hanging="440"/>
        <w:jc w:val="both"/>
        <w:rPr>
          <w:rFonts w:ascii="Arial" w:hAnsi="Arial"/>
          <w:b/>
          <w:sz w:val="20"/>
        </w:rPr>
      </w:pPr>
      <w:r w:rsidRPr="007667C7">
        <w:rPr>
          <w:rFonts w:ascii="Arial" w:hAnsi="Arial"/>
          <w:b/>
          <w:sz w:val="20"/>
        </w:rPr>
        <w:t>3.</w:t>
      </w:r>
      <w:r w:rsidRPr="007667C7">
        <w:rPr>
          <w:rFonts w:ascii="Arial" w:hAnsi="Arial"/>
          <w:b/>
          <w:sz w:val="20"/>
        </w:rPr>
        <w:tab/>
        <w:t>Remedies in Equity</w:t>
      </w:r>
    </w:p>
    <w:p w14:paraId="1F9DE510" w14:textId="77777777" w:rsidR="00912F75" w:rsidRPr="007667C7" w:rsidRDefault="00912F75" w:rsidP="00912F75">
      <w:pPr>
        <w:ind w:left="1620" w:hanging="440"/>
        <w:jc w:val="both"/>
        <w:rPr>
          <w:rFonts w:ascii="Arial" w:hAnsi="Arial"/>
          <w:sz w:val="20"/>
        </w:rPr>
      </w:pPr>
      <w:r w:rsidRPr="007667C7">
        <w:rPr>
          <w:rFonts w:ascii="Arial" w:hAnsi="Arial"/>
          <w:b/>
          <w:sz w:val="20"/>
        </w:rPr>
        <w:tab/>
      </w:r>
      <w:r w:rsidRPr="007667C7">
        <w:rPr>
          <w:rFonts w:ascii="Arial" w:hAnsi="Arial"/>
          <w:sz w:val="20"/>
        </w:rPr>
        <w:t>A court of equity can order specific performance, an injunction, or resc</w:t>
      </w:r>
      <w:r w:rsidR="00E04737" w:rsidRPr="007667C7">
        <w:rPr>
          <w:rFonts w:ascii="Arial" w:hAnsi="Arial"/>
          <w:sz w:val="20"/>
        </w:rPr>
        <w:t>ission of a contract (Chapter 19</w:t>
      </w:r>
      <w:r w:rsidRPr="007667C7">
        <w:rPr>
          <w:rFonts w:ascii="Arial" w:hAnsi="Arial"/>
          <w:sz w:val="20"/>
        </w:rPr>
        <w:t>).</w:t>
      </w:r>
    </w:p>
    <w:p w14:paraId="076948F1" w14:textId="77777777" w:rsidR="00C02475" w:rsidRPr="009B4805" w:rsidRDefault="00C02475" w:rsidP="00C02475">
      <w:pPr>
        <w:tabs>
          <w:tab w:val="left" w:pos="1440"/>
          <w:tab w:val="left" w:pos="1890"/>
          <w:tab w:val="left" w:pos="2160"/>
          <w:tab w:val="left" w:pos="2880"/>
        </w:tabs>
        <w:ind w:left="1620" w:hanging="440"/>
        <w:jc w:val="both"/>
        <w:rPr>
          <w:rFonts w:ascii="Arial" w:hAnsi="Arial"/>
          <w:sz w:val="16"/>
          <w:szCs w:val="16"/>
        </w:rPr>
      </w:pPr>
    </w:p>
    <w:p w14:paraId="6D200CE1" w14:textId="77777777" w:rsidR="00E04737" w:rsidRPr="007667C7" w:rsidRDefault="00E04737" w:rsidP="00E04737">
      <w:pPr>
        <w:tabs>
          <w:tab w:val="left" w:pos="1620"/>
        </w:tabs>
        <w:ind w:left="1620" w:hanging="440"/>
        <w:jc w:val="both"/>
        <w:rPr>
          <w:rFonts w:ascii="Arial" w:hAnsi="Arial"/>
          <w:b/>
          <w:sz w:val="20"/>
        </w:rPr>
      </w:pPr>
      <w:r w:rsidRPr="007667C7">
        <w:rPr>
          <w:rFonts w:ascii="Arial" w:hAnsi="Arial"/>
          <w:b/>
          <w:sz w:val="20"/>
        </w:rPr>
        <w:t>4.</w:t>
      </w:r>
      <w:r w:rsidRPr="007667C7">
        <w:rPr>
          <w:rFonts w:ascii="Arial" w:hAnsi="Arial"/>
          <w:b/>
          <w:sz w:val="20"/>
        </w:rPr>
        <w:tab/>
        <w:t>Equitable Maxims</w:t>
      </w:r>
    </w:p>
    <w:p w14:paraId="019B10F3" w14:textId="77777777" w:rsidR="00E04737" w:rsidRPr="007667C7" w:rsidRDefault="00E04737" w:rsidP="00E04737">
      <w:pPr>
        <w:tabs>
          <w:tab w:val="left" w:pos="1620"/>
        </w:tabs>
        <w:ind w:left="1620" w:hanging="440"/>
        <w:jc w:val="both"/>
        <w:rPr>
          <w:rFonts w:ascii="Arial" w:hAnsi="Arial"/>
          <w:sz w:val="20"/>
        </w:rPr>
      </w:pPr>
      <w:r w:rsidRPr="007667C7">
        <w:rPr>
          <w:rFonts w:ascii="Arial" w:hAnsi="Arial"/>
          <w:sz w:val="20"/>
        </w:rPr>
        <w:tab/>
        <w:t>These guide the application of equitable remedies.</w:t>
      </w:r>
    </w:p>
    <w:p w14:paraId="34E5DB79" w14:textId="77777777" w:rsidR="00A527E0" w:rsidRPr="007667C7" w:rsidRDefault="00A527E0" w:rsidP="00A527E0">
      <w:pPr>
        <w:ind w:firstLine="720"/>
        <w:jc w:val="both"/>
        <w:rPr>
          <w:rFonts w:ascii="Arial" w:hAnsi="Arial"/>
          <w:sz w:val="20"/>
        </w:rPr>
      </w:pPr>
    </w:p>
    <w:p w14:paraId="1988E7EA" w14:textId="77777777" w:rsidR="009B4805" w:rsidRDefault="009B4805">
      <w:pPr>
        <w:rPr>
          <w:rFonts w:ascii="Arial" w:hAnsi="Arial"/>
          <w:b/>
          <w:smallCaps/>
          <w:sz w:val="20"/>
        </w:rPr>
      </w:pPr>
      <w:r>
        <w:rPr>
          <w:rFonts w:ascii="Arial" w:hAnsi="Arial"/>
          <w:b/>
          <w:smallCaps/>
          <w:sz w:val="20"/>
        </w:rPr>
        <w:br w:type="page"/>
      </w:r>
    </w:p>
    <w:p w14:paraId="71217657" w14:textId="29F43B05" w:rsidR="00DC54EA" w:rsidRPr="007667C7" w:rsidRDefault="00DC54EA">
      <w:pPr>
        <w:ind w:left="1160" w:hanging="440"/>
        <w:jc w:val="both"/>
        <w:rPr>
          <w:rFonts w:ascii="Arial" w:hAnsi="Arial"/>
          <w:b/>
          <w:smallCaps/>
          <w:sz w:val="20"/>
        </w:rPr>
      </w:pPr>
      <w:r w:rsidRPr="007667C7">
        <w:rPr>
          <w:rFonts w:ascii="Arial" w:hAnsi="Arial"/>
          <w:b/>
          <w:smallCaps/>
          <w:sz w:val="20"/>
        </w:rPr>
        <w:lastRenderedPageBreak/>
        <w:t>B.</w:t>
      </w:r>
      <w:r w:rsidRPr="007667C7">
        <w:rPr>
          <w:rFonts w:ascii="Arial" w:hAnsi="Arial"/>
          <w:b/>
          <w:smallCaps/>
          <w:sz w:val="20"/>
        </w:rPr>
        <w:tab/>
        <w:t>Legal and Equitable Remedies Today</w:t>
      </w:r>
    </w:p>
    <w:p w14:paraId="2BC5D497" w14:textId="77777777" w:rsidR="00DC54EA" w:rsidRPr="007667C7" w:rsidRDefault="00DC54EA">
      <w:pPr>
        <w:ind w:left="1160"/>
        <w:jc w:val="both"/>
        <w:rPr>
          <w:rFonts w:ascii="Arial" w:hAnsi="Arial"/>
          <w:sz w:val="20"/>
        </w:rPr>
      </w:pPr>
      <w:r w:rsidRPr="007667C7">
        <w:rPr>
          <w:rFonts w:ascii="Arial" w:hAnsi="Arial"/>
          <w:sz w:val="20"/>
        </w:rPr>
        <w:t>Today, in most states, a plaintiff may request both legal and equitable remedies in the same action, and the trial court judge may grant either form—or both forms—of relief.</w:t>
      </w:r>
    </w:p>
    <w:p w14:paraId="5F797327" w14:textId="77777777" w:rsidR="00DC54EA" w:rsidRPr="007667C7" w:rsidRDefault="00DC54EA">
      <w:pPr>
        <w:ind w:firstLine="720"/>
        <w:jc w:val="both"/>
        <w:rPr>
          <w:rFonts w:ascii="Arial" w:hAnsi="Arial"/>
          <w:sz w:val="20"/>
        </w:rPr>
      </w:pPr>
    </w:p>
    <w:p w14:paraId="51439840" w14:textId="77777777" w:rsidR="00DC54EA" w:rsidRPr="007667C7" w:rsidRDefault="00DC54EA">
      <w:pPr>
        <w:ind w:left="1160" w:hanging="440"/>
        <w:jc w:val="both"/>
        <w:rPr>
          <w:rFonts w:ascii="Arial" w:hAnsi="Arial"/>
          <w:b/>
          <w:smallCaps/>
          <w:sz w:val="20"/>
        </w:rPr>
      </w:pPr>
      <w:r w:rsidRPr="007667C7">
        <w:rPr>
          <w:rFonts w:ascii="Arial" w:hAnsi="Arial"/>
          <w:b/>
          <w:smallCaps/>
          <w:sz w:val="20"/>
        </w:rPr>
        <w:t>C.</w:t>
      </w:r>
      <w:r w:rsidRPr="007667C7">
        <w:rPr>
          <w:rFonts w:ascii="Arial" w:hAnsi="Arial"/>
          <w:b/>
          <w:smallCaps/>
          <w:sz w:val="20"/>
        </w:rPr>
        <w:tab/>
        <w:t xml:space="preserve">The Doctrine of </w:t>
      </w:r>
      <w:r w:rsidRPr="007667C7">
        <w:rPr>
          <w:rFonts w:ascii="Arial" w:hAnsi="Arial"/>
          <w:b/>
          <w:i/>
          <w:smallCaps/>
          <w:sz w:val="20"/>
        </w:rPr>
        <w:t>Stare Decisis</w:t>
      </w:r>
    </w:p>
    <w:p w14:paraId="2934BD79" w14:textId="77777777" w:rsidR="00C02475" w:rsidRPr="007667C7" w:rsidRDefault="00C02475" w:rsidP="00C02475">
      <w:pPr>
        <w:tabs>
          <w:tab w:val="left" w:pos="1440"/>
          <w:tab w:val="left" w:pos="1890"/>
          <w:tab w:val="left" w:pos="2160"/>
          <w:tab w:val="left" w:pos="2880"/>
        </w:tabs>
        <w:ind w:left="1620" w:hanging="440"/>
        <w:jc w:val="both"/>
        <w:rPr>
          <w:rFonts w:ascii="Arial" w:hAnsi="Arial"/>
          <w:sz w:val="12"/>
        </w:rPr>
      </w:pPr>
    </w:p>
    <w:p w14:paraId="675585D9" w14:textId="77777777" w:rsidR="00DC54EA" w:rsidRPr="007667C7" w:rsidRDefault="00DC54EA">
      <w:pPr>
        <w:ind w:left="1620" w:hanging="440"/>
        <w:jc w:val="both"/>
        <w:rPr>
          <w:rFonts w:ascii="Arial" w:hAnsi="Arial"/>
          <w:b/>
          <w:sz w:val="20"/>
        </w:rPr>
      </w:pPr>
      <w:r w:rsidRPr="007667C7">
        <w:rPr>
          <w:rFonts w:ascii="Arial" w:hAnsi="Arial"/>
          <w:b/>
          <w:sz w:val="20"/>
        </w:rPr>
        <w:t>1.</w:t>
      </w:r>
      <w:r w:rsidRPr="007667C7">
        <w:rPr>
          <w:rFonts w:ascii="Arial" w:hAnsi="Arial"/>
          <w:b/>
          <w:sz w:val="20"/>
        </w:rPr>
        <w:tab/>
        <w:t>Case Precedents and Case Reporters</w:t>
      </w:r>
    </w:p>
    <w:p w14:paraId="56FCCD31" w14:textId="77777777" w:rsidR="00DC54EA" w:rsidRPr="007667C7" w:rsidRDefault="00DC54EA">
      <w:pPr>
        <w:ind w:left="1620"/>
        <w:jc w:val="both"/>
        <w:rPr>
          <w:rFonts w:ascii="Arial" w:hAnsi="Arial"/>
          <w:sz w:val="20"/>
        </w:rPr>
      </w:pPr>
      <w:r w:rsidRPr="007667C7">
        <w:rPr>
          <w:rFonts w:ascii="Arial" w:hAnsi="Arial"/>
          <w:sz w:val="20"/>
        </w:rPr>
        <w:t>The common law sys</w:t>
      </w:r>
      <w:r w:rsidRPr="007667C7">
        <w:rPr>
          <w:rFonts w:ascii="Arial" w:hAnsi="Arial"/>
          <w:sz w:val="20"/>
        </w:rPr>
        <w:softHyphen/>
        <w:t>tem involves the applica</w:t>
      </w:r>
      <w:r w:rsidRPr="007667C7">
        <w:rPr>
          <w:rFonts w:ascii="Arial" w:hAnsi="Arial"/>
          <w:sz w:val="20"/>
        </w:rPr>
        <w:softHyphen/>
        <w:t>tion, in current cases, of principles applied in earlier cases with similar facts.</w:t>
      </w:r>
    </w:p>
    <w:p w14:paraId="3B58B834" w14:textId="77777777" w:rsidR="00C02475" w:rsidRPr="00BC2CF4" w:rsidRDefault="00C02475" w:rsidP="00C02475">
      <w:pPr>
        <w:tabs>
          <w:tab w:val="left" w:pos="1440"/>
          <w:tab w:val="left" w:pos="1890"/>
          <w:tab w:val="left" w:pos="2160"/>
          <w:tab w:val="left" w:pos="2880"/>
        </w:tabs>
        <w:ind w:left="1620" w:hanging="440"/>
        <w:jc w:val="both"/>
        <w:rPr>
          <w:rFonts w:ascii="Arial" w:hAnsi="Arial"/>
          <w:sz w:val="16"/>
          <w:szCs w:val="16"/>
        </w:rPr>
      </w:pPr>
    </w:p>
    <w:p w14:paraId="559F6FD7" w14:textId="77777777" w:rsidR="00DC54EA" w:rsidRPr="007667C7" w:rsidRDefault="00DC54EA">
      <w:pPr>
        <w:ind w:left="1620" w:hanging="440"/>
        <w:jc w:val="both"/>
        <w:rPr>
          <w:rFonts w:ascii="Arial" w:hAnsi="Arial"/>
          <w:b/>
          <w:sz w:val="20"/>
        </w:rPr>
      </w:pPr>
      <w:r w:rsidRPr="007667C7">
        <w:rPr>
          <w:rFonts w:ascii="Arial" w:hAnsi="Arial"/>
          <w:b/>
          <w:sz w:val="20"/>
        </w:rPr>
        <w:t>2.</w:t>
      </w:r>
      <w:r w:rsidRPr="007667C7">
        <w:rPr>
          <w:rFonts w:ascii="Arial" w:hAnsi="Arial"/>
          <w:b/>
          <w:sz w:val="20"/>
        </w:rPr>
        <w:tab/>
      </w:r>
      <w:r w:rsidRPr="007667C7">
        <w:rPr>
          <w:rFonts w:ascii="Arial" w:hAnsi="Arial"/>
          <w:b/>
          <w:i/>
          <w:sz w:val="20"/>
        </w:rPr>
        <w:t>Stare Decisis</w:t>
      </w:r>
      <w:r w:rsidRPr="007667C7">
        <w:rPr>
          <w:rFonts w:ascii="Arial" w:hAnsi="Arial"/>
          <w:b/>
          <w:sz w:val="20"/>
        </w:rPr>
        <w:t xml:space="preserve"> and the Common Law Tradition</w:t>
      </w:r>
    </w:p>
    <w:p w14:paraId="609279D9" w14:textId="77777777" w:rsidR="00DC54EA" w:rsidRPr="007667C7" w:rsidRDefault="00DC54EA">
      <w:pPr>
        <w:tabs>
          <w:tab w:val="left" w:pos="1620"/>
        </w:tabs>
        <w:ind w:left="1620" w:hanging="450"/>
        <w:jc w:val="both"/>
        <w:rPr>
          <w:rFonts w:ascii="Arial" w:hAnsi="Arial"/>
          <w:sz w:val="20"/>
        </w:rPr>
      </w:pPr>
      <w:r w:rsidRPr="007667C7">
        <w:rPr>
          <w:rFonts w:ascii="Arial" w:hAnsi="Arial"/>
          <w:sz w:val="20"/>
        </w:rPr>
        <w:tab/>
        <w:t xml:space="preserve">The use of precedent forms the basis for the doctrine of </w:t>
      </w:r>
      <w:r w:rsidRPr="007667C7">
        <w:rPr>
          <w:rFonts w:ascii="Arial" w:hAnsi="Arial"/>
          <w:i/>
          <w:sz w:val="20"/>
        </w:rPr>
        <w:t>stare decisis</w:t>
      </w:r>
      <w:r w:rsidRPr="007667C7">
        <w:rPr>
          <w:rFonts w:ascii="Arial" w:hAnsi="Arial"/>
          <w:sz w:val="20"/>
        </w:rPr>
        <w:t>.</w:t>
      </w:r>
    </w:p>
    <w:p w14:paraId="6E596580" w14:textId="77777777" w:rsidR="00C02475" w:rsidRPr="00BC2CF4" w:rsidRDefault="00C02475" w:rsidP="00C02475">
      <w:pPr>
        <w:tabs>
          <w:tab w:val="left" w:pos="1440"/>
          <w:tab w:val="left" w:pos="1890"/>
          <w:tab w:val="left" w:pos="2160"/>
          <w:tab w:val="left" w:pos="2880"/>
        </w:tabs>
        <w:ind w:left="1620" w:hanging="440"/>
        <w:jc w:val="both"/>
        <w:rPr>
          <w:rFonts w:ascii="Arial" w:hAnsi="Arial"/>
          <w:sz w:val="16"/>
          <w:szCs w:val="16"/>
        </w:rPr>
      </w:pPr>
    </w:p>
    <w:p w14:paraId="7697E060" w14:textId="77777777" w:rsidR="00DC54EA" w:rsidRPr="007667C7" w:rsidRDefault="00DC54EA">
      <w:pPr>
        <w:ind w:left="1620" w:hanging="440"/>
        <w:jc w:val="both"/>
        <w:rPr>
          <w:rFonts w:ascii="Arial" w:hAnsi="Arial"/>
          <w:b/>
          <w:sz w:val="20"/>
        </w:rPr>
      </w:pPr>
      <w:r w:rsidRPr="007667C7">
        <w:rPr>
          <w:rFonts w:ascii="Arial" w:hAnsi="Arial"/>
          <w:b/>
          <w:sz w:val="20"/>
        </w:rPr>
        <w:t>3.</w:t>
      </w:r>
      <w:r w:rsidRPr="007667C7">
        <w:rPr>
          <w:rFonts w:ascii="Arial" w:hAnsi="Arial"/>
          <w:b/>
          <w:sz w:val="20"/>
        </w:rPr>
        <w:tab/>
      </w:r>
      <w:r w:rsidR="006D272C" w:rsidRPr="007667C7">
        <w:rPr>
          <w:rFonts w:ascii="Arial" w:hAnsi="Arial"/>
          <w:b/>
          <w:sz w:val="20"/>
        </w:rPr>
        <w:t>Controlling Precedents</w:t>
      </w:r>
    </w:p>
    <w:p w14:paraId="3B87ACE6" w14:textId="77777777" w:rsidR="00DC54EA" w:rsidRPr="007667C7" w:rsidRDefault="00DC54EA">
      <w:pPr>
        <w:tabs>
          <w:tab w:val="left" w:pos="1620"/>
        </w:tabs>
        <w:ind w:left="1620" w:hanging="440"/>
        <w:jc w:val="both"/>
        <w:rPr>
          <w:rFonts w:ascii="Arial" w:hAnsi="Arial"/>
          <w:sz w:val="20"/>
        </w:rPr>
      </w:pPr>
      <w:r w:rsidRPr="007667C7">
        <w:rPr>
          <w:rFonts w:ascii="Arial" w:hAnsi="Arial"/>
          <w:sz w:val="20"/>
        </w:rPr>
        <w:tab/>
        <w:t>A court’s application of a specific principle to a certain set of facts is binding on that court and lower courts, which must then apply it in future cases. A controlling precedent is binding authority. Other binding authorities include constitutions, statutes, and rules.</w:t>
      </w:r>
    </w:p>
    <w:p w14:paraId="5F00CE4B" w14:textId="77777777" w:rsidR="00DC54EA" w:rsidRPr="00BC2CF4" w:rsidRDefault="00DC54EA">
      <w:pPr>
        <w:jc w:val="both"/>
        <w:rPr>
          <w:rFonts w:ascii="Arial" w:hAnsi="Arial"/>
          <w:smallCaps/>
          <w:sz w:val="20"/>
        </w:rPr>
      </w:pPr>
    </w:p>
    <w:tbl>
      <w:tblPr>
        <w:tblW w:w="10440" w:type="dxa"/>
        <w:tblLayout w:type="fixed"/>
        <w:tblCellMar>
          <w:left w:w="80" w:type="dxa"/>
          <w:right w:w="80" w:type="dxa"/>
        </w:tblCellMar>
        <w:tblLook w:val="0000" w:firstRow="0" w:lastRow="0" w:firstColumn="0" w:lastColumn="0" w:noHBand="0" w:noVBand="0"/>
      </w:tblPr>
      <w:tblGrid>
        <w:gridCol w:w="10440"/>
      </w:tblGrid>
      <w:tr w:rsidR="00DC54EA" w:rsidRPr="009A13E9" w14:paraId="67C158DC" w14:textId="77777777">
        <w:tc>
          <w:tcPr>
            <w:tcW w:w="10440" w:type="dxa"/>
            <w:tcBorders>
              <w:top w:val="single" w:sz="12" w:space="0" w:color="auto"/>
              <w:left w:val="single" w:sz="12" w:space="0" w:color="auto"/>
              <w:bottom w:val="nil"/>
              <w:right w:val="single" w:sz="12" w:space="0" w:color="auto"/>
            </w:tcBorders>
          </w:tcPr>
          <w:p w14:paraId="3CF6EBD0" w14:textId="77777777" w:rsidR="00DC54EA" w:rsidRPr="007667C7" w:rsidRDefault="00DC54EA">
            <w:pPr>
              <w:pStyle w:val="CaseSyn"/>
              <w:spacing w:line="240" w:lineRule="auto"/>
              <w:rPr>
                <w:rFonts w:ascii="Arial" w:hAnsi="Arial"/>
                <w:b w:val="0"/>
              </w:rPr>
            </w:pPr>
          </w:p>
        </w:tc>
      </w:tr>
      <w:tr w:rsidR="00DC54EA" w:rsidRPr="009A13E9" w14:paraId="2949B996" w14:textId="77777777">
        <w:tc>
          <w:tcPr>
            <w:tcW w:w="10440" w:type="dxa"/>
            <w:tcBorders>
              <w:left w:val="single" w:sz="12" w:space="0" w:color="auto"/>
              <w:right w:val="single" w:sz="12" w:space="0" w:color="auto"/>
            </w:tcBorders>
          </w:tcPr>
          <w:p w14:paraId="7F7AE901" w14:textId="77777777" w:rsidR="00DC54EA" w:rsidRPr="009A13E9" w:rsidRDefault="00DC54EA">
            <w:pPr>
              <w:pStyle w:val="Heading3"/>
              <w:ind w:left="360" w:right="200" w:firstLine="0"/>
              <w:jc w:val="center"/>
              <w:rPr>
                <w:b w:val="0"/>
              </w:rPr>
            </w:pPr>
            <w:r w:rsidRPr="007667C7">
              <w:rPr>
                <w:rFonts w:ascii="Arial" w:hAnsi="Arial"/>
              </w:rPr>
              <w:t>Enhancing Your Lecture—</w:t>
            </w:r>
          </w:p>
        </w:tc>
      </w:tr>
      <w:tr w:rsidR="00DC54EA" w:rsidRPr="009A13E9" w14:paraId="103E08D6" w14:textId="77777777">
        <w:tc>
          <w:tcPr>
            <w:tcW w:w="10440" w:type="dxa"/>
            <w:tcBorders>
              <w:top w:val="nil"/>
              <w:left w:val="single" w:sz="12" w:space="0" w:color="auto"/>
              <w:bottom w:val="nil"/>
              <w:right w:val="single" w:sz="12" w:space="0" w:color="auto"/>
            </w:tcBorders>
          </w:tcPr>
          <w:p w14:paraId="0C616A77" w14:textId="77777777" w:rsidR="00DC54EA" w:rsidRPr="007667C7" w:rsidRDefault="00DC54EA">
            <w:pPr>
              <w:ind w:left="360" w:right="200"/>
              <w:jc w:val="center"/>
              <w:rPr>
                <w:rFonts w:ascii="Arial" w:hAnsi="Arial"/>
                <w:sz w:val="16"/>
              </w:rPr>
            </w:pPr>
          </w:p>
        </w:tc>
      </w:tr>
      <w:tr w:rsidR="00DC54EA" w:rsidRPr="009A13E9" w14:paraId="259D3EB9" w14:textId="77777777">
        <w:tc>
          <w:tcPr>
            <w:tcW w:w="10440" w:type="dxa"/>
            <w:tcBorders>
              <w:top w:val="nil"/>
              <w:left w:val="single" w:sz="12" w:space="0" w:color="auto"/>
              <w:bottom w:val="nil"/>
              <w:right w:val="single" w:sz="12" w:space="0" w:color="auto"/>
            </w:tcBorders>
          </w:tcPr>
          <w:p w14:paraId="36E5B6A9" w14:textId="77777777" w:rsidR="00DC54EA" w:rsidRPr="009A13E9" w:rsidRDefault="00DC54EA">
            <w:pPr>
              <w:pStyle w:val="Heading3"/>
              <w:tabs>
                <w:tab w:val="left" w:pos="2070"/>
                <w:tab w:val="left" w:pos="8550"/>
              </w:tabs>
              <w:ind w:left="360" w:right="200" w:firstLine="10"/>
            </w:pP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7667C7">
              <w:rPr>
                <w:rFonts w:ascii="Arial" w:hAnsi="Arial"/>
              </w:rPr>
              <w:tab/>
            </w:r>
            <w:r w:rsidRPr="007667C7">
              <w:rPr>
                <w:rFonts w:ascii="Arial" w:hAnsi="Arial"/>
                <w:sz w:val="28"/>
              </w:rPr>
              <w:t>Is an 1875 Case Precedent Still Binding?</w:t>
            </w:r>
            <w:r w:rsidRPr="007667C7">
              <w:rPr>
                <w:rFonts w:ascii="Arial" w:hAnsi="Arial"/>
              </w:rPr>
              <w:tab/>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r w:rsidRPr="009A13E9">
              <w:rPr>
                <w:rFonts w:ascii="Zapf Dingbats" w:hAnsi="Zapf Dingbats"/>
                <w:b w:val="0"/>
                <w:sz w:val="48"/>
              </w:rPr>
              <w:t></w:t>
            </w:r>
          </w:p>
        </w:tc>
      </w:tr>
      <w:tr w:rsidR="00DC54EA" w:rsidRPr="009A13E9" w14:paraId="5CB4D73E" w14:textId="77777777">
        <w:tc>
          <w:tcPr>
            <w:tcW w:w="10440" w:type="dxa"/>
            <w:tcBorders>
              <w:top w:val="nil"/>
              <w:left w:val="single" w:sz="12" w:space="0" w:color="auto"/>
              <w:bottom w:val="nil"/>
              <w:right w:val="single" w:sz="12" w:space="0" w:color="auto"/>
            </w:tcBorders>
          </w:tcPr>
          <w:p w14:paraId="1C7C0412" w14:textId="77777777" w:rsidR="00DC54EA" w:rsidRPr="007667C7" w:rsidRDefault="00DC54EA">
            <w:pPr>
              <w:ind w:left="360" w:right="200"/>
              <w:jc w:val="center"/>
              <w:rPr>
                <w:rFonts w:ascii="Arial" w:hAnsi="Arial"/>
                <w:sz w:val="16"/>
              </w:rPr>
            </w:pPr>
          </w:p>
        </w:tc>
      </w:tr>
      <w:tr w:rsidR="00DC54EA" w:rsidRPr="009A13E9" w14:paraId="7197600F" w14:textId="77777777">
        <w:tc>
          <w:tcPr>
            <w:tcW w:w="10440" w:type="dxa"/>
            <w:tcBorders>
              <w:top w:val="nil"/>
              <w:left w:val="single" w:sz="12" w:space="0" w:color="auto"/>
              <w:bottom w:val="nil"/>
              <w:right w:val="single" w:sz="12" w:space="0" w:color="auto"/>
            </w:tcBorders>
          </w:tcPr>
          <w:p w14:paraId="20B241EA" w14:textId="77777777" w:rsidR="00DC54EA" w:rsidRPr="009A13E9" w:rsidRDefault="00DC54EA">
            <w:pPr>
              <w:pStyle w:val="Boxtext"/>
              <w:spacing w:line="240" w:lineRule="auto"/>
            </w:pPr>
            <w:r w:rsidRPr="007667C7">
              <w:rPr>
                <w:rFonts w:ascii="Arial" w:hAnsi="Arial"/>
              </w:rPr>
              <w:tab/>
              <w:t xml:space="preserve">In a suit against the U.S. government for breach of contract, Boris Korczak sought compensation for services that he had allegedly performed for the Central Intelligence Agency (CIA) from 1973 to 1980.  Korczak claimed that the government had failed to pay him an annuity and other compensation required by a secret </w:t>
            </w:r>
            <w:r w:rsidRPr="007667C7">
              <w:rPr>
                <w:rFonts w:ascii="Arial" w:hAnsi="Arial"/>
                <w:i/>
              </w:rPr>
              <w:t>oral</w:t>
            </w:r>
            <w:r w:rsidRPr="007667C7">
              <w:rPr>
                <w:rFonts w:ascii="Arial" w:hAnsi="Arial"/>
              </w:rPr>
              <w:t xml:space="preserve"> agreement he had made with the CIA.  The federal trial court dismissed Korczak’s claim, and Korczak appealed the decision to the U.S. Court of Appeals for the Federal Circuit.</w:t>
            </w:r>
          </w:p>
        </w:tc>
      </w:tr>
      <w:tr w:rsidR="00DC54EA" w:rsidRPr="009A13E9" w14:paraId="40F2C763" w14:textId="77777777">
        <w:tc>
          <w:tcPr>
            <w:tcW w:w="10440" w:type="dxa"/>
            <w:tcBorders>
              <w:top w:val="nil"/>
              <w:left w:val="single" w:sz="12" w:space="0" w:color="auto"/>
              <w:bottom w:val="nil"/>
              <w:right w:val="single" w:sz="12" w:space="0" w:color="auto"/>
            </w:tcBorders>
          </w:tcPr>
          <w:p w14:paraId="574D062D" w14:textId="77777777" w:rsidR="00DC54EA" w:rsidRPr="009A13E9" w:rsidRDefault="00DC54EA">
            <w:pPr>
              <w:ind w:left="360" w:right="200"/>
              <w:jc w:val="center"/>
              <w:rPr>
                <w:rFonts w:ascii="New Century Schlbk" w:hAnsi="New Century Schlbk"/>
                <w:sz w:val="20"/>
              </w:rPr>
            </w:pPr>
          </w:p>
        </w:tc>
      </w:tr>
      <w:tr w:rsidR="00DC54EA" w:rsidRPr="009A13E9" w14:paraId="42FA36D0" w14:textId="77777777">
        <w:tc>
          <w:tcPr>
            <w:tcW w:w="10440" w:type="dxa"/>
            <w:tcBorders>
              <w:top w:val="nil"/>
              <w:left w:val="single" w:sz="12" w:space="0" w:color="auto"/>
              <w:bottom w:val="nil"/>
              <w:right w:val="single" w:sz="12" w:space="0" w:color="auto"/>
            </w:tcBorders>
          </w:tcPr>
          <w:p w14:paraId="3CD7EF0A"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At issue on appeal was whether a Supreme Court case decided in 1875, </w:t>
            </w:r>
            <w:r w:rsidRPr="007667C7">
              <w:rPr>
                <w:rFonts w:ascii="Arial" w:hAnsi="Arial"/>
                <w:i/>
                <w:sz w:val="20"/>
              </w:rPr>
              <w:t>Totten v. United States</w:t>
            </w:r>
            <w:proofErr w:type="gramStart"/>
            <w:r w:rsidRPr="007667C7">
              <w:rPr>
                <w:rFonts w:ascii="Arial" w:hAnsi="Arial"/>
                <w:b/>
                <w:i/>
                <w:sz w:val="20"/>
              </w:rPr>
              <w:t>,</w:t>
            </w:r>
            <w:r w:rsidRPr="007667C7">
              <w:rPr>
                <w:rFonts w:ascii="Arial" w:hAnsi="Arial"/>
                <w:b/>
                <w:sz w:val="20"/>
                <w:vertAlign w:val="superscript"/>
              </w:rPr>
              <w:t>a</w:t>
            </w:r>
            <w:proofErr w:type="gramEnd"/>
            <w:r w:rsidRPr="007667C7">
              <w:rPr>
                <w:rFonts w:ascii="Arial" w:hAnsi="Arial"/>
                <w:b/>
                <w:sz w:val="20"/>
                <w:vertAlign w:val="superscript"/>
              </w:rPr>
              <w:t xml:space="preserve"> </w:t>
            </w:r>
            <w:r w:rsidRPr="007667C7">
              <w:rPr>
                <w:rFonts w:ascii="Arial" w:hAnsi="Arial"/>
                <w:sz w:val="20"/>
              </w:rPr>
              <w:t xml:space="preserve">remained the controlling precedent in this area.  In </w:t>
            </w:r>
            <w:r w:rsidRPr="007667C7">
              <w:rPr>
                <w:rFonts w:ascii="Arial" w:hAnsi="Arial"/>
                <w:i/>
                <w:sz w:val="20"/>
              </w:rPr>
              <w:t xml:space="preserve">Totten, </w:t>
            </w:r>
            <w:r w:rsidRPr="007667C7">
              <w:rPr>
                <w:rFonts w:ascii="Arial" w:hAnsi="Arial"/>
                <w:sz w:val="20"/>
              </w:rPr>
              <w:t xml:space="preserve">the plaintiff alleged that he had formed a secret contract with President Lincoln to collect information on the Confederate army during the Civil War.  When the plaintiff sued the government for compensation for his services, the Supreme Court held that the agreement was unenforceable.  According to the Court, to enforce such agreements could result in the disclosure of information that “might compromise or embarrass our government” or cause other “serious detriment” to the public.  In Korczak’s case, the federal appellate court held that the </w:t>
            </w:r>
            <w:r w:rsidRPr="007667C7">
              <w:rPr>
                <w:rFonts w:ascii="Arial" w:hAnsi="Arial"/>
                <w:i/>
                <w:sz w:val="20"/>
              </w:rPr>
              <w:t xml:space="preserve">Totten </w:t>
            </w:r>
            <w:r w:rsidRPr="007667C7">
              <w:rPr>
                <w:rFonts w:ascii="Arial" w:hAnsi="Arial"/>
                <w:sz w:val="20"/>
              </w:rPr>
              <w:t xml:space="preserve">case precedent was still “good law,” and therefore Korczak, like the plaintiff in </w:t>
            </w:r>
            <w:r w:rsidRPr="007667C7">
              <w:rPr>
                <w:rFonts w:ascii="Arial" w:hAnsi="Arial"/>
                <w:i/>
                <w:sz w:val="20"/>
              </w:rPr>
              <w:t xml:space="preserve">Totten, </w:t>
            </w:r>
            <w:r w:rsidRPr="007667C7">
              <w:rPr>
                <w:rFonts w:ascii="Arial" w:hAnsi="Arial"/>
                <w:sz w:val="20"/>
              </w:rPr>
              <w:t>could not recover compensation for his services.  Said the court, “</w:t>
            </w:r>
            <w:r w:rsidRPr="007667C7">
              <w:rPr>
                <w:rFonts w:ascii="Arial" w:hAnsi="Arial"/>
                <w:i/>
                <w:sz w:val="20"/>
              </w:rPr>
              <w:t xml:space="preserve">Totten, </w:t>
            </w:r>
            <w:r w:rsidRPr="007667C7">
              <w:rPr>
                <w:rFonts w:ascii="Arial" w:hAnsi="Arial"/>
                <w:sz w:val="20"/>
              </w:rPr>
              <w:t>despite its age, is the last pronouncement on this issue by the Supreme Court</w:t>
            </w:r>
            <w:proofErr w:type="gramStart"/>
            <w:r w:rsidRPr="007667C7">
              <w:rPr>
                <w:rFonts w:ascii="Arial" w:hAnsi="Arial"/>
                <w:sz w:val="20"/>
              </w:rPr>
              <w:t>. .</w:t>
            </w:r>
            <w:proofErr w:type="gramEnd"/>
            <w:r w:rsidRPr="007667C7">
              <w:rPr>
                <w:rFonts w:ascii="Arial" w:hAnsi="Arial"/>
                <w:sz w:val="20"/>
              </w:rPr>
              <w:t>  .  .  We are duty bound to follow the law given us by the Supreme Court unless and until it is changed.”</w:t>
            </w:r>
            <w:proofErr w:type="gramStart"/>
            <w:r w:rsidRPr="007667C7">
              <w:rPr>
                <w:rFonts w:ascii="Arial" w:hAnsi="Arial"/>
                <w:b/>
                <w:sz w:val="20"/>
                <w:vertAlign w:val="superscript"/>
              </w:rPr>
              <w:t>b</w:t>
            </w:r>
            <w:proofErr w:type="gramEnd"/>
          </w:p>
        </w:tc>
      </w:tr>
      <w:tr w:rsidR="00DC54EA" w:rsidRPr="007667C7" w14:paraId="1C52E1CB" w14:textId="77777777">
        <w:tc>
          <w:tcPr>
            <w:tcW w:w="10440" w:type="dxa"/>
            <w:tcBorders>
              <w:top w:val="nil"/>
              <w:left w:val="single" w:sz="12" w:space="0" w:color="auto"/>
              <w:bottom w:val="nil"/>
              <w:right w:val="single" w:sz="12" w:space="0" w:color="auto"/>
            </w:tcBorders>
          </w:tcPr>
          <w:p w14:paraId="14159DC9" w14:textId="77777777" w:rsidR="00DC54EA" w:rsidRPr="009A13E9" w:rsidRDefault="00DC54EA">
            <w:pPr>
              <w:ind w:left="360" w:right="200"/>
              <w:jc w:val="center"/>
              <w:rPr>
                <w:rFonts w:ascii="New Century Schlbk" w:hAnsi="New Century Schlbk"/>
                <w:sz w:val="20"/>
              </w:rPr>
            </w:pPr>
          </w:p>
        </w:tc>
      </w:tr>
      <w:tr w:rsidR="00DC54EA" w:rsidRPr="009A13E9" w14:paraId="2CCB6568" w14:textId="77777777">
        <w:tc>
          <w:tcPr>
            <w:tcW w:w="10440" w:type="dxa"/>
            <w:tcBorders>
              <w:top w:val="nil"/>
              <w:left w:val="single" w:sz="12" w:space="0" w:color="auto"/>
              <w:bottom w:val="nil"/>
              <w:right w:val="single" w:sz="12" w:space="0" w:color="auto"/>
            </w:tcBorders>
          </w:tcPr>
          <w:p w14:paraId="32ACDDF2" w14:textId="77777777" w:rsidR="00DC54EA" w:rsidRPr="009A13E9" w:rsidRDefault="00DC54EA">
            <w:pPr>
              <w:pStyle w:val="CaseSyn"/>
              <w:spacing w:line="240" w:lineRule="auto"/>
              <w:rPr>
                <w:b w:val="0"/>
              </w:rPr>
            </w:pPr>
            <w:r w:rsidRPr="007667C7">
              <w:rPr>
                <w:rFonts w:ascii="Arial" w:hAnsi="Arial"/>
              </w:rPr>
              <w:t>The Bottom Line</w:t>
            </w:r>
          </w:p>
        </w:tc>
      </w:tr>
      <w:tr w:rsidR="00DC54EA" w:rsidRPr="009A13E9" w14:paraId="5A704560" w14:textId="77777777">
        <w:tc>
          <w:tcPr>
            <w:tcW w:w="10440" w:type="dxa"/>
            <w:tcBorders>
              <w:top w:val="nil"/>
              <w:left w:val="single" w:sz="12" w:space="0" w:color="auto"/>
              <w:bottom w:val="nil"/>
              <w:right w:val="single" w:sz="12" w:space="0" w:color="auto"/>
            </w:tcBorders>
          </w:tcPr>
          <w:p w14:paraId="11FE0E1E" w14:textId="77777777" w:rsidR="00DC54EA" w:rsidRPr="009A13E9" w:rsidRDefault="00DC54EA">
            <w:pPr>
              <w:ind w:left="360" w:right="200"/>
              <w:jc w:val="center"/>
              <w:rPr>
                <w:rFonts w:ascii="New Century Schlbk" w:hAnsi="New Century Schlbk"/>
                <w:sz w:val="20"/>
              </w:rPr>
            </w:pPr>
          </w:p>
        </w:tc>
      </w:tr>
      <w:tr w:rsidR="00DC54EA" w:rsidRPr="009A13E9" w14:paraId="620BB49F" w14:textId="77777777">
        <w:tc>
          <w:tcPr>
            <w:tcW w:w="10440" w:type="dxa"/>
            <w:tcBorders>
              <w:top w:val="nil"/>
              <w:left w:val="single" w:sz="12" w:space="0" w:color="auto"/>
              <w:bottom w:val="nil"/>
              <w:right w:val="single" w:sz="12" w:space="0" w:color="auto"/>
            </w:tcBorders>
          </w:tcPr>
          <w:p w14:paraId="202261B9" w14:textId="77777777" w:rsidR="00DC54EA" w:rsidRPr="009A13E9" w:rsidRDefault="00DC54EA">
            <w:pPr>
              <w:pStyle w:val="Boxtext"/>
              <w:spacing w:line="240" w:lineRule="auto"/>
            </w:pPr>
            <w:r w:rsidRPr="007667C7">
              <w:rPr>
                <w:rFonts w:ascii="Arial" w:hAnsi="Arial"/>
              </w:rPr>
              <w:tab/>
              <w:t>Supreme Court precedents, no matter how old, remain controlling until they are overruled by a subsequent decision of the Supreme Court, by a constitutional amendment, or by congressional legislation.</w:t>
            </w:r>
          </w:p>
        </w:tc>
      </w:tr>
      <w:tr w:rsidR="00DC54EA" w:rsidRPr="009A13E9" w14:paraId="55FC5E50" w14:textId="77777777">
        <w:tc>
          <w:tcPr>
            <w:tcW w:w="10440" w:type="dxa"/>
            <w:tcBorders>
              <w:top w:val="nil"/>
              <w:left w:val="single" w:sz="12" w:space="0" w:color="auto"/>
              <w:bottom w:val="nil"/>
              <w:right w:val="single" w:sz="12" w:space="0" w:color="auto"/>
            </w:tcBorders>
          </w:tcPr>
          <w:p w14:paraId="761D1D5D" w14:textId="77777777" w:rsidR="00DC54EA" w:rsidRPr="009A13E9" w:rsidRDefault="00DC54EA">
            <w:pPr>
              <w:ind w:left="360" w:right="200"/>
              <w:rPr>
                <w:rFonts w:ascii="New Century Schlbk" w:hAnsi="New Century Schlbk"/>
                <w:sz w:val="20"/>
              </w:rPr>
            </w:pPr>
            <w:r w:rsidRPr="007667C7">
              <w:rPr>
                <w:rFonts w:ascii="Arial" w:hAnsi="Arial"/>
                <w:sz w:val="20"/>
                <w:u w:val="single"/>
              </w:rPr>
              <w:tab/>
            </w:r>
            <w:r w:rsidRPr="007667C7">
              <w:rPr>
                <w:rFonts w:ascii="Arial" w:hAnsi="Arial"/>
                <w:sz w:val="20"/>
                <w:u w:val="single"/>
              </w:rPr>
              <w:tab/>
            </w:r>
            <w:r w:rsidRPr="007667C7">
              <w:rPr>
                <w:rFonts w:ascii="Arial" w:hAnsi="Arial"/>
                <w:sz w:val="20"/>
                <w:u w:val="single"/>
              </w:rPr>
              <w:tab/>
            </w:r>
          </w:p>
        </w:tc>
      </w:tr>
      <w:tr w:rsidR="00DC54EA" w:rsidRPr="009A13E9" w14:paraId="1A3CF351" w14:textId="77777777">
        <w:tc>
          <w:tcPr>
            <w:tcW w:w="10440" w:type="dxa"/>
            <w:tcBorders>
              <w:top w:val="nil"/>
              <w:left w:val="single" w:sz="12" w:space="0" w:color="auto"/>
              <w:bottom w:val="nil"/>
              <w:right w:val="single" w:sz="12" w:space="0" w:color="auto"/>
            </w:tcBorders>
          </w:tcPr>
          <w:p w14:paraId="4DBB01B2" w14:textId="77777777" w:rsidR="00DC54EA" w:rsidRPr="009A13E9" w:rsidRDefault="00DC54EA">
            <w:pPr>
              <w:ind w:left="360" w:right="200"/>
              <w:jc w:val="center"/>
              <w:rPr>
                <w:rFonts w:ascii="New Century Schlbk" w:hAnsi="New Century Schlbk"/>
                <w:sz w:val="12"/>
              </w:rPr>
            </w:pPr>
          </w:p>
        </w:tc>
      </w:tr>
      <w:tr w:rsidR="00DC54EA" w:rsidRPr="009A13E9" w14:paraId="09E1B118" w14:textId="77777777">
        <w:tc>
          <w:tcPr>
            <w:tcW w:w="10440" w:type="dxa"/>
            <w:tcBorders>
              <w:top w:val="nil"/>
              <w:left w:val="single" w:sz="12" w:space="0" w:color="auto"/>
              <w:bottom w:val="nil"/>
              <w:right w:val="single" w:sz="12" w:space="0" w:color="auto"/>
            </w:tcBorders>
          </w:tcPr>
          <w:p w14:paraId="2F4F2240" w14:textId="77777777" w:rsidR="00DC54EA" w:rsidRPr="009A13E9" w:rsidRDefault="00DC54EA">
            <w:pPr>
              <w:ind w:left="360" w:right="200"/>
              <w:jc w:val="both"/>
              <w:rPr>
                <w:rFonts w:ascii="New Century Schlbk" w:hAnsi="New Century Schlbk"/>
                <w:sz w:val="16"/>
              </w:rPr>
            </w:pPr>
            <w:r w:rsidRPr="007667C7">
              <w:rPr>
                <w:rFonts w:ascii="Arial" w:hAnsi="Arial"/>
                <w:sz w:val="16"/>
              </w:rPr>
              <w:t>a.  92 U.S. 105 (1875).</w:t>
            </w:r>
          </w:p>
        </w:tc>
      </w:tr>
      <w:tr w:rsidR="00DC54EA" w:rsidRPr="009A13E9" w14:paraId="4AC474DF" w14:textId="77777777">
        <w:tc>
          <w:tcPr>
            <w:tcW w:w="10440" w:type="dxa"/>
            <w:tcBorders>
              <w:top w:val="nil"/>
              <w:left w:val="single" w:sz="12" w:space="0" w:color="auto"/>
              <w:bottom w:val="nil"/>
              <w:right w:val="single" w:sz="12" w:space="0" w:color="auto"/>
            </w:tcBorders>
          </w:tcPr>
          <w:p w14:paraId="32538FE8" w14:textId="77777777" w:rsidR="00DC54EA" w:rsidRPr="009A13E9" w:rsidRDefault="00DC54EA">
            <w:pPr>
              <w:ind w:left="360" w:right="200"/>
              <w:jc w:val="both"/>
              <w:rPr>
                <w:rFonts w:ascii="New Century Schlbk" w:hAnsi="New Century Schlbk"/>
                <w:sz w:val="16"/>
              </w:rPr>
            </w:pPr>
            <w:r w:rsidRPr="007667C7">
              <w:rPr>
                <w:rFonts w:ascii="Arial" w:hAnsi="Arial"/>
                <w:sz w:val="16"/>
              </w:rPr>
              <w:t xml:space="preserve">b.  </w:t>
            </w:r>
            <w:r w:rsidRPr="007667C7">
              <w:rPr>
                <w:rFonts w:ascii="Arial" w:hAnsi="Arial"/>
                <w:i/>
                <w:sz w:val="16"/>
              </w:rPr>
              <w:t xml:space="preserve">Korczak v. United States, </w:t>
            </w:r>
            <w:r w:rsidRPr="007667C7">
              <w:rPr>
                <w:rFonts w:ascii="Arial" w:hAnsi="Arial"/>
                <w:sz w:val="16"/>
              </w:rPr>
              <w:t>124 F.3d 227 (Fed.Cir. 1997).</w:t>
            </w:r>
          </w:p>
        </w:tc>
      </w:tr>
      <w:tr w:rsidR="00DC54EA" w:rsidRPr="00BC2CF4" w14:paraId="24BD7070" w14:textId="77777777">
        <w:tc>
          <w:tcPr>
            <w:tcW w:w="10440" w:type="dxa"/>
            <w:tcBorders>
              <w:top w:val="nil"/>
              <w:left w:val="single" w:sz="12" w:space="0" w:color="auto"/>
              <w:bottom w:val="single" w:sz="12" w:space="0" w:color="auto"/>
              <w:right w:val="single" w:sz="12" w:space="0" w:color="auto"/>
            </w:tcBorders>
          </w:tcPr>
          <w:p w14:paraId="6DC474B0" w14:textId="77777777" w:rsidR="00DC54EA" w:rsidRPr="00BC2CF4" w:rsidRDefault="00DC54EA">
            <w:pPr>
              <w:ind w:left="360" w:right="200"/>
              <w:jc w:val="center"/>
              <w:rPr>
                <w:rFonts w:ascii="Arial" w:hAnsi="Arial"/>
                <w:sz w:val="20"/>
              </w:rPr>
            </w:pPr>
          </w:p>
        </w:tc>
      </w:tr>
    </w:tbl>
    <w:p w14:paraId="128F2CC4" w14:textId="77777777" w:rsidR="00050608" w:rsidRPr="007667C7" w:rsidRDefault="00050608" w:rsidP="00050608">
      <w:pPr>
        <w:jc w:val="both"/>
        <w:rPr>
          <w:rFonts w:ascii="Arial" w:hAnsi="Arial"/>
          <w:b/>
          <w:smallCaps/>
          <w:sz w:val="20"/>
        </w:rPr>
      </w:pPr>
    </w:p>
    <w:p w14:paraId="19B517E6" w14:textId="77777777" w:rsidR="00DC54EA" w:rsidRPr="007667C7" w:rsidRDefault="00DC54EA">
      <w:pPr>
        <w:ind w:left="1620" w:hanging="440"/>
        <w:jc w:val="both"/>
        <w:rPr>
          <w:rFonts w:ascii="Arial" w:hAnsi="Arial"/>
          <w:b/>
          <w:sz w:val="20"/>
        </w:rPr>
      </w:pPr>
      <w:r w:rsidRPr="007667C7">
        <w:rPr>
          <w:rFonts w:ascii="Arial" w:hAnsi="Arial"/>
          <w:b/>
          <w:sz w:val="20"/>
        </w:rPr>
        <w:t>4.</w:t>
      </w:r>
      <w:r w:rsidRPr="007667C7">
        <w:rPr>
          <w:rFonts w:ascii="Arial" w:hAnsi="Arial"/>
          <w:b/>
          <w:sz w:val="20"/>
        </w:rPr>
        <w:tab/>
      </w:r>
      <w:r w:rsidRPr="007667C7">
        <w:rPr>
          <w:rFonts w:ascii="Arial" w:hAnsi="Arial"/>
          <w:b/>
          <w:i/>
          <w:sz w:val="20"/>
        </w:rPr>
        <w:t>Stare Decisis</w:t>
      </w:r>
      <w:r w:rsidRPr="007667C7">
        <w:rPr>
          <w:rFonts w:ascii="Arial" w:hAnsi="Arial"/>
          <w:b/>
          <w:sz w:val="20"/>
        </w:rPr>
        <w:t xml:space="preserve"> and Legal Stability</w:t>
      </w:r>
    </w:p>
    <w:p w14:paraId="53628AFA" w14:textId="77777777" w:rsidR="00DC54EA" w:rsidRPr="007667C7" w:rsidRDefault="00DC54EA">
      <w:pPr>
        <w:tabs>
          <w:tab w:val="left" w:pos="1620"/>
        </w:tabs>
        <w:ind w:left="1620" w:hanging="440"/>
        <w:jc w:val="both"/>
        <w:rPr>
          <w:rFonts w:ascii="Arial" w:hAnsi="Arial"/>
          <w:sz w:val="20"/>
        </w:rPr>
      </w:pPr>
      <w:r w:rsidRPr="007667C7">
        <w:rPr>
          <w:rFonts w:ascii="Arial" w:hAnsi="Arial"/>
          <w:sz w:val="20"/>
        </w:rPr>
        <w:t xml:space="preserve"> </w:t>
      </w:r>
      <w:r w:rsidRPr="007667C7">
        <w:rPr>
          <w:rFonts w:ascii="Arial" w:hAnsi="Arial"/>
          <w:sz w:val="20"/>
        </w:rPr>
        <w:tab/>
        <w:t>This doctrine permits a predictable, quick, and fair resolution of cases, which makes the application of law more stable.</w:t>
      </w:r>
    </w:p>
    <w:p w14:paraId="067A6A0C"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2142FDF1" w14:textId="39D88BBC" w:rsidR="00DC54EA" w:rsidRPr="009B4805" w:rsidRDefault="00DC54EA">
      <w:pPr>
        <w:ind w:left="1620" w:hanging="440"/>
        <w:jc w:val="both"/>
        <w:rPr>
          <w:rFonts w:ascii="Arial" w:hAnsi="Arial"/>
          <w:b/>
          <w:sz w:val="20"/>
        </w:rPr>
      </w:pPr>
      <w:r w:rsidRPr="009B4805">
        <w:rPr>
          <w:rFonts w:ascii="Arial" w:hAnsi="Arial"/>
          <w:b/>
          <w:sz w:val="20"/>
        </w:rPr>
        <w:t>5.</w:t>
      </w:r>
      <w:r w:rsidRPr="009B4805">
        <w:rPr>
          <w:rFonts w:ascii="Arial" w:hAnsi="Arial"/>
          <w:b/>
          <w:sz w:val="20"/>
        </w:rPr>
        <w:tab/>
        <w:t>Departures from Precedent</w:t>
      </w:r>
    </w:p>
    <w:p w14:paraId="2214C724" w14:textId="77777777" w:rsidR="00DC54EA" w:rsidRPr="009B4805" w:rsidRDefault="00DC54EA">
      <w:pPr>
        <w:pStyle w:val="BodyTextIndent"/>
        <w:ind w:left="1620"/>
        <w:rPr>
          <w:rFonts w:ascii="Arial" w:hAnsi="Arial"/>
        </w:rPr>
      </w:pPr>
      <w:r w:rsidRPr="009B4805">
        <w:rPr>
          <w:rFonts w:ascii="Arial" w:hAnsi="Arial"/>
        </w:rPr>
        <w:tab/>
        <w:t>A judge may decide that a precedent is incorrect, however, if there may have been changes in technology, for exam</w:t>
      </w:r>
      <w:r w:rsidRPr="009B4805">
        <w:rPr>
          <w:rFonts w:ascii="Arial" w:hAnsi="Arial"/>
        </w:rPr>
        <w:softHyphen/>
        <w:t>ple, business practices, or soci</w:t>
      </w:r>
      <w:r w:rsidRPr="009B4805">
        <w:rPr>
          <w:rFonts w:ascii="Arial" w:hAnsi="Arial"/>
        </w:rPr>
        <w:softHyphen/>
        <w:t>ety’s at</w:t>
      </w:r>
      <w:r w:rsidRPr="009B4805">
        <w:rPr>
          <w:rFonts w:ascii="Arial" w:hAnsi="Arial"/>
        </w:rPr>
        <w:softHyphen/>
        <w:t>titudes.</w:t>
      </w:r>
    </w:p>
    <w:p w14:paraId="12287996"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35CD2A3D" w14:textId="77777777" w:rsidR="00DC54EA" w:rsidRPr="009B4805" w:rsidRDefault="00DC54EA">
      <w:pPr>
        <w:ind w:left="1620" w:hanging="440"/>
        <w:jc w:val="both"/>
        <w:rPr>
          <w:rFonts w:ascii="Arial" w:hAnsi="Arial"/>
          <w:b/>
          <w:sz w:val="20"/>
        </w:rPr>
      </w:pPr>
      <w:r w:rsidRPr="009B4805">
        <w:rPr>
          <w:rFonts w:ascii="Arial" w:hAnsi="Arial"/>
          <w:b/>
          <w:sz w:val="20"/>
        </w:rPr>
        <w:t>6.</w:t>
      </w:r>
      <w:r w:rsidRPr="009B4805">
        <w:rPr>
          <w:rFonts w:ascii="Arial" w:hAnsi="Arial"/>
          <w:b/>
          <w:sz w:val="20"/>
        </w:rPr>
        <w:tab/>
        <w:t>When There Is No Precedent</w:t>
      </w:r>
    </w:p>
    <w:p w14:paraId="1ADA2939" w14:textId="77777777" w:rsidR="00DC54EA" w:rsidRPr="009B4805" w:rsidRDefault="00DC54EA">
      <w:pPr>
        <w:pStyle w:val="BodyTextIndent"/>
        <w:tabs>
          <w:tab w:val="left" w:pos="1620"/>
        </w:tabs>
        <w:ind w:left="1620" w:hanging="450"/>
        <w:rPr>
          <w:rFonts w:ascii="Arial" w:hAnsi="Arial"/>
        </w:rPr>
      </w:pPr>
      <w:r w:rsidRPr="009B4805">
        <w:rPr>
          <w:rFonts w:ascii="Arial" w:hAnsi="Arial"/>
        </w:rPr>
        <w:tab/>
        <w:t>When determining which rules and policies to apply in a given case, and in applying them, a judge may examine: prior case law, the principles and policies behind the decisions, and their historical set</w:t>
      </w:r>
      <w:r w:rsidRPr="009B4805">
        <w:rPr>
          <w:rFonts w:ascii="Arial" w:hAnsi="Arial"/>
        </w:rPr>
        <w:softHyphen/>
        <w:t>ting; statutes and the policies behind a legislature’s passing a specific statute; society’s values and custom; and data and principles from other disciplines.</w:t>
      </w:r>
    </w:p>
    <w:p w14:paraId="3E6C38FD" w14:textId="77777777" w:rsidR="00DC54EA" w:rsidRPr="009B4805" w:rsidRDefault="00DC54EA">
      <w:pPr>
        <w:ind w:left="1170" w:hanging="440"/>
        <w:jc w:val="both"/>
        <w:rPr>
          <w:rFonts w:ascii="Arial" w:hAnsi="Arial"/>
          <w:b/>
          <w:sz w:val="20"/>
        </w:rPr>
      </w:pPr>
    </w:p>
    <w:p w14:paraId="58D30E1C" w14:textId="77777777" w:rsidR="00DC54EA" w:rsidRPr="009B4805" w:rsidRDefault="00DC54EA">
      <w:pPr>
        <w:ind w:left="1160" w:hanging="440"/>
        <w:jc w:val="both"/>
        <w:rPr>
          <w:rFonts w:ascii="Arial" w:hAnsi="Arial"/>
          <w:b/>
          <w:smallCaps/>
          <w:sz w:val="20"/>
        </w:rPr>
      </w:pPr>
      <w:r w:rsidRPr="009B4805">
        <w:rPr>
          <w:rFonts w:ascii="Arial" w:hAnsi="Arial"/>
          <w:b/>
          <w:smallCaps/>
          <w:sz w:val="20"/>
        </w:rPr>
        <w:t>D.</w:t>
      </w:r>
      <w:r w:rsidRPr="009B4805">
        <w:rPr>
          <w:rFonts w:ascii="Arial" w:hAnsi="Arial"/>
          <w:b/>
          <w:smallCaps/>
          <w:sz w:val="20"/>
        </w:rPr>
        <w:tab/>
      </w:r>
      <w:r w:rsidRPr="009B4805">
        <w:rPr>
          <w:rFonts w:ascii="Arial" w:hAnsi="Arial"/>
          <w:b/>
          <w:i/>
          <w:smallCaps/>
          <w:sz w:val="20"/>
        </w:rPr>
        <w:t>Stare Decisis</w:t>
      </w:r>
      <w:r w:rsidRPr="009B4805">
        <w:rPr>
          <w:rFonts w:ascii="Arial" w:hAnsi="Arial"/>
          <w:b/>
          <w:smallCaps/>
          <w:sz w:val="20"/>
        </w:rPr>
        <w:t xml:space="preserve"> and Legal Reasoning</w:t>
      </w:r>
    </w:p>
    <w:p w14:paraId="33D13DF6"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7D42CE85" w14:textId="77777777" w:rsidR="00DC54EA" w:rsidRPr="009B4805" w:rsidRDefault="00DC54EA">
      <w:pPr>
        <w:ind w:left="1620" w:hanging="440"/>
        <w:jc w:val="both"/>
        <w:rPr>
          <w:rFonts w:ascii="Arial" w:hAnsi="Arial"/>
          <w:b/>
          <w:sz w:val="20"/>
        </w:rPr>
      </w:pPr>
      <w:r w:rsidRPr="009B4805">
        <w:rPr>
          <w:rFonts w:ascii="Arial" w:hAnsi="Arial"/>
          <w:b/>
          <w:sz w:val="20"/>
        </w:rPr>
        <w:t>1.</w:t>
      </w:r>
      <w:r w:rsidRPr="009B4805">
        <w:rPr>
          <w:rFonts w:ascii="Arial" w:hAnsi="Arial"/>
          <w:b/>
          <w:sz w:val="20"/>
        </w:rPr>
        <w:tab/>
        <w:t>Basic Steps in Legal Reasoning</w:t>
      </w:r>
    </w:p>
    <w:p w14:paraId="06F9C173" w14:textId="77777777" w:rsidR="00DC54EA" w:rsidRPr="009B4805" w:rsidRDefault="00DC54EA">
      <w:pPr>
        <w:ind w:left="1620"/>
        <w:jc w:val="both"/>
        <w:rPr>
          <w:rFonts w:ascii="Arial" w:hAnsi="Arial"/>
          <w:sz w:val="20"/>
        </w:rPr>
      </w:pPr>
      <w:r w:rsidRPr="009B4805">
        <w:rPr>
          <w:rFonts w:ascii="Arial" w:hAnsi="Arial"/>
          <w:sz w:val="20"/>
        </w:rPr>
        <w:t>Legal reasonin</w:t>
      </w:r>
      <w:r w:rsidR="009D0104" w:rsidRPr="009B4805">
        <w:rPr>
          <w:rFonts w:ascii="Arial" w:hAnsi="Arial"/>
          <w:sz w:val="20"/>
        </w:rPr>
        <w:t>g is briefly defined, and the “i</w:t>
      </w:r>
      <w:r w:rsidRPr="009B4805">
        <w:rPr>
          <w:rFonts w:ascii="Arial" w:hAnsi="Arial"/>
          <w:sz w:val="20"/>
        </w:rPr>
        <w:t>ssue</w:t>
      </w:r>
      <w:r w:rsidR="009D0104" w:rsidRPr="009B4805">
        <w:rPr>
          <w:rFonts w:ascii="Arial" w:hAnsi="Arial"/>
          <w:sz w:val="20"/>
        </w:rPr>
        <w:t>-rule-apply-c</w:t>
      </w:r>
      <w:r w:rsidRPr="009B4805">
        <w:rPr>
          <w:rFonts w:ascii="Arial" w:hAnsi="Arial"/>
          <w:sz w:val="20"/>
        </w:rPr>
        <w:t>onclude” format is outlined.</w:t>
      </w:r>
    </w:p>
    <w:p w14:paraId="367F1971" w14:textId="77777777" w:rsidR="00DC54EA" w:rsidRPr="009B4805" w:rsidRDefault="00DC54EA">
      <w:pPr>
        <w:ind w:left="1170" w:hanging="440"/>
        <w:jc w:val="both"/>
        <w:rPr>
          <w:rFonts w:ascii="Arial" w:hAnsi="Arial"/>
          <w:sz w:val="20"/>
        </w:rPr>
      </w:pPr>
    </w:p>
    <w:p w14:paraId="44FFD486" w14:textId="77777777" w:rsidR="00DC54EA" w:rsidRPr="009B4805" w:rsidRDefault="00DC54EA">
      <w:pPr>
        <w:ind w:left="1160" w:hanging="440"/>
        <w:jc w:val="both"/>
        <w:rPr>
          <w:rFonts w:ascii="Arial" w:hAnsi="Arial"/>
          <w:b/>
          <w:smallCaps/>
          <w:sz w:val="20"/>
        </w:rPr>
      </w:pPr>
      <w:r w:rsidRPr="009B4805">
        <w:rPr>
          <w:rFonts w:ascii="Arial" w:hAnsi="Arial"/>
          <w:b/>
          <w:smallCaps/>
          <w:sz w:val="20"/>
        </w:rPr>
        <w:t>E.</w:t>
      </w:r>
      <w:r w:rsidRPr="009B4805">
        <w:rPr>
          <w:rFonts w:ascii="Arial" w:hAnsi="Arial"/>
          <w:b/>
          <w:smallCaps/>
          <w:sz w:val="20"/>
        </w:rPr>
        <w:tab/>
        <w:t>There Is No One “Right” Answer</w:t>
      </w:r>
    </w:p>
    <w:p w14:paraId="2588F5AB" w14:textId="77777777" w:rsidR="00DC54EA" w:rsidRPr="009B4805" w:rsidRDefault="00DC54EA">
      <w:pPr>
        <w:ind w:left="1160"/>
        <w:jc w:val="both"/>
        <w:rPr>
          <w:rFonts w:ascii="Arial" w:hAnsi="Arial"/>
          <w:sz w:val="20"/>
        </w:rPr>
      </w:pPr>
      <w:r w:rsidRPr="009B4805">
        <w:rPr>
          <w:rFonts w:ascii="Arial" w:hAnsi="Arial"/>
          <w:sz w:val="20"/>
        </w:rPr>
        <w:t>Of course, there is no one “right” answer to every legal question.</w:t>
      </w:r>
    </w:p>
    <w:p w14:paraId="1245648F" w14:textId="77777777" w:rsidR="00DC54EA" w:rsidRPr="009B4805" w:rsidRDefault="00DC54EA">
      <w:pPr>
        <w:ind w:left="1170" w:hanging="440"/>
        <w:jc w:val="both"/>
        <w:rPr>
          <w:rFonts w:ascii="Arial" w:hAnsi="Arial"/>
          <w:sz w:val="20"/>
        </w:rPr>
      </w:pPr>
    </w:p>
    <w:p w14:paraId="0B2F87B6" w14:textId="77777777" w:rsidR="00DC54EA" w:rsidRPr="009B4805" w:rsidRDefault="00DC54EA">
      <w:pPr>
        <w:ind w:left="1160" w:hanging="440"/>
        <w:jc w:val="both"/>
        <w:rPr>
          <w:rFonts w:ascii="Arial" w:hAnsi="Arial"/>
          <w:b/>
          <w:smallCaps/>
          <w:sz w:val="20"/>
        </w:rPr>
      </w:pPr>
      <w:r w:rsidRPr="009B4805">
        <w:rPr>
          <w:rFonts w:ascii="Arial" w:hAnsi="Arial"/>
          <w:b/>
          <w:smallCaps/>
          <w:sz w:val="20"/>
        </w:rPr>
        <w:t>F.</w:t>
      </w:r>
      <w:r w:rsidRPr="009B4805">
        <w:rPr>
          <w:rFonts w:ascii="Arial" w:hAnsi="Arial"/>
          <w:b/>
          <w:smallCaps/>
          <w:sz w:val="20"/>
        </w:rPr>
        <w:tab/>
        <w:t>The Common Law Today</w:t>
      </w:r>
    </w:p>
    <w:p w14:paraId="397608B7"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003925C8" w14:textId="77777777" w:rsidR="00DC54EA" w:rsidRPr="009B4805" w:rsidRDefault="00DC54EA">
      <w:pPr>
        <w:ind w:left="1620" w:hanging="440"/>
        <w:jc w:val="both"/>
        <w:rPr>
          <w:rFonts w:ascii="Arial" w:hAnsi="Arial"/>
          <w:b/>
          <w:sz w:val="20"/>
        </w:rPr>
      </w:pPr>
      <w:r w:rsidRPr="009B4805">
        <w:rPr>
          <w:rFonts w:ascii="Arial" w:hAnsi="Arial"/>
          <w:b/>
          <w:sz w:val="20"/>
        </w:rPr>
        <w:t>1.</w:t>
      </w:r>
      <w:r w:rsidRPr="009B4805">
        <w:rPr>
          <w:rFonts w:ascii="Arial" w:hAnsi="Arial"/>
          <w:b/>
          <w:sz w:val="20"/>
        </w:rPr>
        <w:tab/>
        <w:t>Courts Interpret Statutes</w:t>
      </w:r>
    </w:p>
    <w:p w14:paraId="2B6B2035" w14:textId="77777777" w:rsidR="00DC54EA" w:rsidRPr="009B4805" w:rsidRDefault="00DC54EA">
      <w:pPr>
        <w:ind w:left="1620" w:hanging="450"/>
        <w:jc w:val="both"/>
        <w:rPr>
          <w:rFonts w:ascii="Arial" w:hAnsi="Arial"/>
          <w:sz w:val="20"/>
        </w:rPr>
      </w:pPr>
      <w:r w:rsidRPr="009B4805">
        <w:rPr>
          <w:rFonts w:ascii="Arial" w:hAnsi="Arial"/>
          <w:sz w:val="20"/>
        </w:rPr>
        <w:tab/>
        <w:t xml:space="preserve">Through the courts, the common law governs all areas </w:t>
      </w:r>
      <w:r w:rsidRPr="009B4805">
        <w:rPr>
          <w:rFonts w:ascii="Arial" w:hAnsi="Arial"/>
          <w:i/>
          <w:sz w:val="20"/>
        </w:rPr>
        <w:t>not</w:t>
      </w:r>
      <w:r w:rsidRPr="009B4805">
        <w:rPr>
          <w:rFonts w:ascii="Arial" w:hAnsi="Arial"/>
          <w:sz w:val="20"/>
        </w:rPr>
        <w:t xml:space="preserve"> covered by statutory or administrative law, as well as interpretations of the application of statutes and rules.</w:t>
      </w:r>
    </w:p>
    <w:p w14:paraId="47BF4DB9" w14:textId="77777777" w:rsidR="009B4B75" w:rsidRPr="009B4805" w:rsidRDefault="009B4B75" w:rsidP="009B4B75">
      <w:pPr>
        <w:tabs>
          <w:tab w:val="left" w:pos="1440"/>
          <w:tab w:val="left" w:pos="1890"/>
          <w:tab w:val="left" w:pos="2160"/>
          <w:tab w:val="left" w:pos="2880"/>
        </w:tabs>
        <w:ind w:left="1620" w:hanging="440"/>
        <w:jc w:val="both"/>
        <w:rPr>
          <w:rFonts w:ascii="Arial" w:hAnsi="Arial"/>
          <w:sz w:val="20"/>
        </w:rPr>
      </w:pPr>
    </w:p>
    <w:p w14:paraId="11158A7A" w14:textId="77777777" w:rsidR="00DC54EA" w:rsidRPr="007667C7" w:rsidRDefault="00DC54EA">
      <w:pPr>
        <w:ind w:left="1620" w:hanging="440"/>
        <w:jc w:val="both"/>
        <w:rPr>
          <w:rFonts w:ascii="Arial" w:hAnsi="Arial"/>
          <w:b/>
          <w:sz w:val="20"/>
        </w:rPr>
      </w:pPr>
      <w:r w:rsidRPr="007667C7">
        <w:rPr>
          <w:rFonts w:ascii="Arial" w:hAnsi="Arial"/>
          <w:b/>
          <w:sz w:val="20"/>
        </w:rPr>
        <w:t>2.</w:t>
      </w:r>
      <w:r w:rsidRPr="007667C7">
        <w:rPr>
          <w:rFonts w:ascii="Arial" w:hAnsi="Arial"/>
          <w:b/>
          <w:sz w:val="20"/>
        </w:rPr>
        <w:tab/>
      </w:r>
      <w:r w:rsidRPr="007667C7">
        <w:rPr>
          <w:rFonts w:ascii="Arial" w:hAnsi="Arial"/>
          <w:b/>
          <w:i/>
          <w:sz w:val="20"/>
        </w:rPr>
        <w:t>Restatements of the Law</w:t>
      </w:r>
      <w:r w:rsidRPr="007667C7">
        <w:rPr>
          <w:rFonts w:ascii="Arial" w:hAnsi="Arial"/>
          <w:b/>
          <w:sz w:val="20"/>
        </w:rPr>
        <w:t xml:space="preserve"> Clarify and Illustrate the Common Law</w:t>
      </w:r>
    </w:p>
    <w:p w14:paraId="026E1CC0" w14:textId="77777777" w:rsidR="00DC54EA" w:rsidRPr="007667C7" w:rsidRDefault="00DC54EA">
      <w:pPr>
        <w:tabs>
          <w:tab w:val="left" w:pos="1620"/>
        </w:tabs>
        <w:ind w:left="1620" w:hanging="450"/>
        <w:jc w:val="both"/>
        <w:rPr>
          <w:rFonts w:ascii="Arial" w:hAnsi="Arial"/>
          <w:sz w:val="20"/>
        </w:rPr>
      </w:pPr>
      <w:r w:rsidRPr="007667C7">
        <w:rPr>
          <w:rFonts w:ascii="Arial" w:hAnsi="Arial"/>
          <w:sz w:val="20"/>
        </w:rPr>
        <w:tab/>
        <w:t xml:space="preserve">The common law principles are summarized in the American Law Institute’s </w:t>
      </w:r>
      <w:r w:rsidRPr="007667C7">
        <w:rPr>
          <w:rFonts w:ascii="Arial" w:hAnsi="Arial"/>
          <w:i/>
          <w:sz w:val="20"/>
        </w:rPr>
        <w:t>Restatements of the Law</w:t>
      </w:r>
      <w:r w:rsidRPr="007667C7">
        <w:rPr>
          <w:rFonts w:ascii="Arial" w:hAnsi="Arial"/>
          <w:sz w:val="20"/>
        </w:rPr>
        <w:t>, which do not have the force of law but are an important secondary source on which judges often rely.</w:t>
      </w:r>
    </w:p>
    <w:p w14:paraId="5551AE97" w14:textId="77777777" w:rsidR="00DC54EA" w:rsidRPr="007667C7" w:rsidRDefault="00DC54EA">
      <w:pPr>
        <w:tabs>
          <w:tab w:val="left" w:pos="720"/>
        </w:tabs>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505E6760" w14:textId="77777777">
        <w:tc>
          <w:tcPr>
            <w:tcW w:w="10440" w:type="dxa"/>
            <w:tcBorders>
              <w:top w:val="single" w:sz="12" w:space="0" w:color="auto"/>
              <w:left w:val="single" w:sz="12" w:space="0" w:color="auto"/>
              <w:right w:val="single" w:sz="12" w:space="0" w:color="auto"/>
            </w:tcBorders>
          </w:tcPr>
          <w:p w14:paraId="39A3C394" w14:textId="77777777" w:rsidR="00DC54EA" w:rsidRPr="007667C7" w:rsidRDefault="00DC54EA">
            <w:pPr>
              <w:ind w:left="360" w:right="200"/>
              <w:jc w:val="center"/>
              <w:rPr>
                <w:rFonts w:ascii="Arial" w:hAnsi="Arial"/>
                <w:b/>
                <w:sz w:val="20"/>
              </w:rPr>
            </w:pPr>
          </w:p>
          <w:p w14:paraId="5A92E4BF" w14:textId="77777777" w:rsidR="00DC54EA" w:rsidRPr="009A13E9" w:rsidRDefault="00DC54EA">
            <w:pPr>
              <w:ind w:left="360" w:right="200"/>
              <w:jc w:val="center"/>
              <w:rPr>
                <w:rFonts w:ascii="New Century Schlbk" w:hAnsi="New Century Schlbk"/>
                <w:sz w:val="20"/>
              </w:rPr>
            </w:pPr>
            <w:r w:rsidRPr="007667C7">
              <w:rPr>
                <w:rFonts w:ascii="Arial" w:hAnsi="Arial"/>
                <w:b/>
                <w:smallCaps/>
                <w:sz w:val="20"/>
              </w:rPr>
              <w:t>Additional Background—</w:t>
            </w:r>
          </w:p>
        </w:tc>
      </w:tr>
      <w:tr w:rsidR="00DC54EA" w:rsidRPr="007667C7" w14:paraId="25275D42" w14:textId="77777777">
        <w:tc>
          <w:tcPr>
            <w:tcW w:w="10440" w:type="dxa"/>
            <w:tcBorders>
              <w:left w:val="single" w:sz="12" w:space="0" w:color="auto"/>
              <w:right w:val="single" w:sz="12" w:space="0" w:color="auto"/>
            </w:tcBorders>
          </w:tcPr>
          <w:p w14:paraId="50B0AE9B" w14:textId="77777777" w:rsidR="00DC54EA" w:rsidRPr="009A13E9" w:rsidRDefault="00DC54EA">
            <w:pPr>
              <w:ind w:left="360" w:right="200"/>
              <w:jc w:val="center"/>
              <w:rPr>
                <w:rFonts w:ascii="New Century Schlbk" w:hAnsi="New Century Schlbk"/>
                <w:sz w:val="20"/>
              </w:rPr>
            </w:pPr>
          </w:p>
        </w:tc>
      </w:tr>
      <w:tr w:rsidR="00DC54EA" w:rsidRPr="009A13E9" w14:paraId="6BE94CD4" w14:textId="77777777">
        <w:tc>
          <w:tcPr>
            <w:tcW w:w="10440" w:type="dxa"/>
            <w:tcBorders>
              <w:left w:val="single" w:sz="12" w:space="0" w:color="auto"/>
              <w:right w:val="single" w:sz="12" w:space="0" w:color="auto"/>
            </w:tcBorders>
          </w:tcPr>
          <w:p w14:paraId="7231647F" w14:textId="77777777" w:rsidR="00DC54EA" w:rsidRPr="009A13E9" w:rsidRDefault="00DC54EA">
            <w:pPr>
              <w:pStyle w:val="CaseTitle"/>
              <w:spacing w:line="240" w:lineRule="auto"/>
              <w:rPr>
                <w:b w:val="0"/>
                <w:i w:val="0"/>
                <w:sz w:val="20"/>
              </w:rPr>
            </w:pPr>
            <w:r w:rsidRPr="007667C7">
              <w:rPr>
                <w:rFonts w:ascii="Arial" w:hAnsi="Arial"/>
              </w:rPr>
              <w:t>Restatement (Second) of Contracts</w:t>
            </w:r>
          </w:p>
        </w:tc>
      </w:tr>
      <w:tr w:rsidR="00DC54EA" w:rsidRPr="009A13E9" w14:paraId="4633A8E4" w14:textId="77777777">
        <w:tc>
          <w:tcPr>
            <w:tcW w:w="10440" w:type="dxa"/>
            <w:tcBorders>
              <w:left w:val="single" w:sz="12" w:space="0" w:color="auto"/>
              <w:right w:val="single" w:sz="12" w:space="0" w:color="auto"/>
            </w:tcBorders>
          </w:tcPr>
          <w:p w14:paraId="7035420C" w14:textId="77777777" w:rsidR="00DC54EA" w:rsidRPr="009A13E9" w:rsidRDefault="00DC54EA">
            <w:pPr>
              <w:ind w:left="360" w:right="200"/>
              <w:jc w:val="both"/>
              <w:rPr>
                <w:rFonts w:ascii="New Century Schlbk" w:hAnsi="New Century Schlbk"/>
                <w:sz w:val="16"/>
              </w:rPr>
            </w:pPr>
          </w:p>
        </w:tc>
      </w:tr>
      <w:tr w:rsidR="00DC54EA" w:rsidRPr="009A13E9" w14:paraId="0E9AD71C" w14:textId="77777777">
        <w:tc>
          <w:tcPr>
            <w:tcW w:w="10440" w:type="dxa"/>
            <w:tcBorders>
              <w:left w:val="single" w:sz="12" w:space="0" w:color="auto"/>
              <w:right w:val="single" w:sz="12" w:space="0" w:color="auto"/>
            </w:tcBorders>
          </w:tcPr>
          <w:p w14:paraId="46E30746"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American Law Institute (ALI), a group of American legal scholars, is responsible for the </w:t>
            </w:r>
            <w:r w:rsidRPr="007667C7">
              <w:rPr>
                <w:rFonts w:ascii="Arial" w:hAnsi="Arial"/>
                <w:i/>
                <w:sz w:val="20"/>
              </w:rPr>
              <w:t>Restatements</w:t>
            </w:r>
            <w:r w:rsidRPr="007667C7">
              <w:rPr>
                <w:rFonts w:ascii="Arial" w:hAnsi="Arial"/>
                <w:sz w:val="20"/>
              </w:rPr>
              <w:t>.  These scholars also work with the National Conference of Commissioners on Uniform State Laws on some of the uniform state laws.  Members include law ed</w:t>
            </w:r>
            <w:r w:rsidRPr="007667C7">
              <w:rPr>
                <w:rFonts w:ascii="Arial" w:hAnsi="Arial"/>
                <w:sz w:val="20"/>
              </w:rPr>
              <w:softHyphen/>
              <w:t>ucators, judges, and attor</w:t>
            </w:r>
            <w:r w:rsidRPr="007667C7">
              <w:rPr>
                <w:rFonts w:ascii="Arial" w:hAnsi="Arial"/>
                <w:sz w:val="20"/>
              </w:rPr>
              <w:softHyphen/>
              <w:t>neys.  Their goal is to promote uniformity in state law to encourage the fair administration of jus</w:t>
            </w:r>
            <w:r w:rsidRPr="007667C7">
              <w:rPr>
                <w:rFonts w:ascii="Arial" w:hAnsi="Arial"/>
                <w:sz w:val="20"/>
              </w:rPr>
              <w:softHyphen/>
              <w:t xml:space="preserve">tice. </w:t>
            </w:r>
          </w:p>
        </w:tc>
      </w:tr>
      <w:tr w:rsidR="00DC54EA" w:rsidRPr="009A13E9" w14:paraId="21FC8458" w14:textId="77777777">
        <w:tc>
          <w:tcPr>
            <w:tcW w:w="10440" w:type="dxa"/>
            <w:tcBorders>
              <w:left w:val="single" w:sz="12" w:space="0" w:color="auto"/>
              <w:right w:val="single" w:sz="12" w:space="0" w:color="auto"/>
            </w:tcBorders>
          </w:tcPr>
          <w:p w14:paraId="653AF601" w14:textId="77777777" w:rsidR="00DC54EA" w:rsidRPr="009A13E9" w:rsidRDefault="00DC54EA">
            <w:pPr>
              <w:ind w:left="360" w:right="200"/>
              <w:jc w:val="both"/>
              <w:rPr>
                <w:rFonts w:ascii="New Century Schlbk" w:hAnsi="New Century Schlbk"/>
                <w:sz w:val="16"/>
              </w:rPr>
            </w:pPr>
          </w:p>
        </w:tc>
      </w:tr>
      <w:tr w:rsidR="00DC54EA" w:rsidRPr="009A13E9" w14:paraId="6553720C" w14:textId="77777777">
        <w:tc>
          <w:tcPr>
            <w:tcW w:w="10440" w:type="dxa"/>
            <w:tcBorders>
              <w:left w:val="single" w:sz="12" w:space="0" w:color="auto"/>
              <w:right w:val="single" w:sz="12" w:space="0" w:color="auto"/>
            </w:tcBorders>
          </w:tcPr>
          <w:p w14:paraId="6F6DE0BC"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ALI publishes summaries of common law rules on selected topics.  Intended to clarify the rules, the summaries are published as the </w:t>
            </w:r>
            <w:r w:rsidRPr="007667C7">
              <w:rPr>
                <w:rFonts w:ascii="Arial" w:hAnsi="Arial"/>
                <w:i/>
                <w:sz w:val="20"/>
              </w:rPr>
              <w:t>Restatements</w:t>
            </w:r>
            <w:r w:rsidRPr="007667C7">
              <w:rPr>
                <w:rFonts w:ascii="Arial" w:hAnsi="Arial"/>
                <w:sz w:val="20"/>
              </w:rPr>
              <w:t xml:space="preserve">.  Each </w:t>
            </w:r>
            <w:r w:rsidRPr="007667C7">
              <w:rPr>
                <w:rFonts w:ascii="Arial" w:hAnsi="Arial"/>
                <w:i/>
                <w:sz w:val="20"/>
              </w:rPr>
              <w:t>Restatement</w:t>
            </w:r>
            <w:r w:rsidRPr="007667C7">
              <w:rPr>
                <w:rFonts w:ascii="Arial" w:hAnsi="Arial"/>
                <w:sz w:val="20"/>
              </w:rPr>
              <w:t xml:space="preserve"> is further divided into chapters and sections.  Accompanying the sections are explanatory comments, ex</w:t>
            </w:r>
            <w:r w:rsidRPr="007667C7">
              <w:rPr>
                <w:rFonts w:ascii="Arial" w:hAnsi="Arial"/>
                <w:sz w:val="20"/>
              </w:rPr>
              <w:softHyphen/>
              <w:t xml:space="preserve">amples illustrating the principles, relevant case citations, and other materials.  The following is </w:t>
            </w:r>
            <w:r w:rsidRPr="007667C7">
              <w:rPr>
                <w:rFonts w:ascii="Arial" w:hAnsi="Arial"/>
                <w:b/>
                <w:i/>
                <w:sz w:val="20"/>
              </w:rPr>
              <w:t>Restatement (Second) of Contracts</w:t>
            </w:r>
            <w:r w:rsidRPr="007667C7">
              <w:rPr>
                <w:rFonts w:ascii="Arial" w:hAnsi="Arial"/>
                <w:sz w:val="20"/>
              </w:rPr>
              <w:t xml:space="preserve">, Section 1 </w:t>
            </w:r>
            <w:r w:rsidRPr="007667C7">
              <w:rPr>
                <w:rFonts w:ascii="Arial" w:hAnsi="Arial"/>
                <w:sz w:val="20"/>
              </w:rPr>
              <w:lastRenderedPageBreak/>
              <w:t xml:space="preserve">(that is, Section 1 of the second edition of the </w:t>
            </w:r>
            <w:r w:rsidRPr="007667C7">
              <w:rPr>
                <w:rFonts w:ascii="Arial" w:hAnsi="Arial"/>
                <w:i/>
                <w:sz w:val="20"/>
              </w:rPr>
              <w:t>Restatement of Contracts</w:t>
            </w:r>
            <w:r w:rsidRPr="007667C7">
              <w:rPr>
                <w:rFonts w:ascii="Arial" w:hAnsi="Arial"/>
                <w:sz w:val="20"/>
              </w:rPr>
              <w:t>) with excerpts from the Introductory Note to Chapter 1 and Comments ac</w:t>
            </w:r>
            <w:r w:rsidRPr="007667C7">
              <w:rPr>
                <w:rFonts w:ascii="Arial" w:hAnsi="Arial"/>
                <w:sz w:val="20"/>
              </w:rPr>
              <w:softHyphen/>
              <w:t>companying the section.</w:t>
            </w:r>
          </w:p>
        </w:tc>
      </w:tr>
      <w:tr w:rsidR="00DC54EA" w:rsidRPr="007667C7" w14:paraId="579619B6" w14:textId="77777777">
        <w:tc>
          <w:tcPr>
            <w:tcW w:w="10440" w:type="dxa"/>
            <w:tcBorders>
              <w:left w:val="single" w:sz="12" w:space="0" w:color="auto"/>
              <w:right w:val="single" w:sz="12" w:space="0" w:color="auto"/>
            </w:tcBorders>
          </w:tcPr>
          <w:p w14:paraId="4D4B29F9" w14:textId="77777777" w:rsidR="00DC54EA" w:rsidRPr="009A13E9" w:rsidRDefault="00DC54EA">
            <w:pPr>
              <w:ind w:left="360" w:right="200"/>
              <w:jc w:val="both"/>
              <w:rPr>
                <w:rFonts w:ascii="New Century Schlbk" w:hAnsi="New Century Schlbk"/>
                <w:sz w:val="20"/>
              </w:rPr>
            </w:pPr>
          </w:p>
        </w:tc>
      </w:tr>
      <w:tr w:rsidR="00DC54EA" w:rsidRPr="007667C7" w14:paraId="29E12A59" w14:textId="77777777">
        <w:tc>
          <w:tcPr>
            <w:tcW w:w="10440" w:type="dxa"/>
            <w:tcBorders>
              <w:left w:val="single" w:sz="12" w:space="0" w:color="auto"/>
              <w:right w:val="single" w:sz="12" w:space="0" w:color="auto"/>
            </w:tcBorders>
          </w:tcPr>
          <w:p w14:paraId="3465364E"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Chapter 1</w:t>
            </w:r>
          </w:p>
        </w:tc>
      </w:tr>
      <w:tr w:rsidR="00DC54EA" w:rsidRPr="009A13E9" w14:paraId="4AD35009" w14:textId="77777777">
        <w:tc>
          <w:tcPr>
            <w:tcW w:w="10440" w:type="dxa"/>
            <w:tcBorders>
              <w:left w:val="single" w:sz="12" w:space="0" w:color="auto"/>
              <w:right w:val="single" w:sz="12" w:space="0" w:color="auto"/>
            </w:tcBorders>
          </w:tcPr>
          <w:p w14:paraId="3E227445" w14:textId="77777777" w:rsidR="00DC54EA" w:rsidRPr="009A13E9" w:rsidRDefault="00DC54EA">
            <w:pPr>
              <w:ind w:left="360" w:right="200"/>
              <w:jc w:val="center"/>
              <w:rPr>
                <w:rFonts w:ascii="New Century Schlbk" w:hAnsi="New Century Schlbk"/>
                <w:sz w:val="20"/>
              </w:rPr>
            </w:pPr>
            <w:r w:rsidRPr="007667C7">
              <w:rPr>
                <w:rFonts w:ascii="Arial" w:hAnsi="Arial"/>
                <w:b/>
                <w:sz w:val="20"/>
              </w:rPr>
              <w:t>MEANING OF TERMS</w:t>
            </w:r>
          </w:p>
        </w:tc>
      </w:tr>
      <w:tr w:rsidR="00DC54EA" w:rsidRPr="009A13E9" w14:paraId="7CA89C22" w14:textId="77777777">
        <w:tc>
          <w:tcPr>
            <w:tcW w:w="10440" w:type="dxa"/>
            <w:tcBorders>
              <w:left w:val="single" w:sz="12" w:space="0" w:color="auto"/>
              <w:right w:val="single" w:sz="12" w:space="0" w:color="auto"/>
            </w:tcBorders>
          </w:tcPr>
          <w:p w14:paraId="27B2425C" w14:textId="77777777" w:rsidR="00DC54EA" w:rsidRPr="009A13E9" w:rsidRDefault="00DC54EA">
            <w:pPr>
              <w:ind w:left="360" w:right="200"/>
              <w:jc w:val="both"/>
              <w:rPr>
                <w:rFonts w:ascii="New Century Schlbk" w:hAnsi="New Century Schlbk"/>
                <w:sz w:val="16"/>
              </w:rPr>
            </w:pPr>
          </w:p>
        </w:tc>
      </w:tr>
      <w:tr w:rsidR="00DC54EA" w:rsidRPr="009A13E9" w14:paraId="602F4931" w14:textId="77777777">
        <w:tc>
          <w:tcPr>
            <w:tcW w:w="10440" w:type="dxa"/>
            <w:tcBorders>
              <w:left w:val="single" w:sz="12" w:space="0" w:color="auto"/>
              <w:right w:val="single" w:sz="12" w:space="0" w:color="auto"/>
            </w:tcBorders>
          </w:tcPr>
          <w:p w14:paraId="6B7AC6F3"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9A13E9" w14:paraId="59FF529F" w14:textId="77777777">
        <w:tc>
          <w:tcPr>
            <w:tcW w:w="10440" w:type="dxa"/>
            <w:tcBorders>
              <w:left w:val="single" w:sz="12" w:space="0" w:color="auto"/>
              <w:right w:val="single" w:sz="12" w:space="0" w:color="auto"/>
            </w:tcBorders>
          </w:tcPr>
          <w:p w14:paraId="1117D2D1" w14:textId="77777777" w:rsidR="00DC54EA" w:rsidRPr="009A13E9" w:rsidRDefault="00DC54EA">
            <w:pPr>
              <w:ind w:left="360" w:right="200"/>
              <w:jc w:val="both"/>
              <w:rPr>
                <w:rFonts w:ascii="New Century Schlbk" w:hAnsi="New Century Schlbk"/>
                <w:sz w:val="16"/>
              </w:rPr>
            </w:pPr>
          </w:p>
        </w:tc>
      </w:tr>
      <w:tr w:rsidR="00DC54EA" w:rsidRPr="009A13E9" w14:paraId="4395B90B" w14:textId="77777777">
        <w:tc>
          <w:tcPr>
            <w:tcW w:w="10440" w:type="dxa"/>
            <w:tcBorders>
              <w:left w:val="single" w:sz="12" w:space="0" w:color="auto"/>
              <w:right w:val="single" w:sz="12" w:space="0" w:color="auto"/>
            </w:tcBorders>
          </w:tcPr>
          <w:p w14:paraId="33118E8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Introductory Note: A persistent source of difficulty in the law of contracts is the fact that words often have different meanings to the speaker and to the hearer.  Most words are commonly used in more than one sense, and the words used in this </w:t>
            </w:r>
            <w:r w:rsidRPr="007667C7">
              <w:rPr>
                <w:rFonts w:ascii="Arial" w:hAnsi="Arial"/>
                <w:i/>
                <w:sz w:val="20"/>
              </w:rPr>
              <w:t>Restatement</w:t>
            </w:r>
            <w:r w:rsidRPr="007667C7">
              <w:rPr>
                <w:rFonts w:ascii="Arial" w:hAnsi="Arial"/>
                <w:sz w:val="20"/>
              </w:rPr>
              <w:t xml:space="preserve"> are no exception.  It is arguable that the diffi</w:t>
            </w:r>
            <w:r w:rsidRPr="007667C7">
              <w:rPr>
                <w:rFonts w:ascii="Arial" w:hAnsi="Arial"/>
                <w:sz w:val="20"/>
              </w:rPr>
              <w:softHyphen/>
              <w:t>culty is increased rather than diminished by an attempt to give a word a single definition and to use it only as defined.  But where usage varies widely, definition makes it possible to avoid circum</w:t>
            </w:r>
            <w:r w:rsidRPr="007667C7">
              <w:rPr>
                <w:rFonts w:ascii="Arial" w:hAnsi="Arial"/>
                <w:sz w:val="20"/>
              </w:rPr>
              <w:softHyphen/>
              <w:t>locu</w:t>
            </w:r>
            <w:r w:rsidRPr="007667C7">
              <w:rPr>
                <w:rFonts w:ascii="Arial" w:hAnsi="Arial"/>
                <w:sz w:val="20"/>
              </w:rPr>
              <w:softHyphen/>
              <w:t>tion in the statement of rules and to hold ambiguity to a minimum.</w:t>
            </w:r>
          </w:p>
        </w:tc>
      </w:tr>
      <w:tr w:rsidR="00DC54EA" w:rsidRPr="009A13E9" w14:paraId="381ABFA8" w14:textId="77777777">
        <w:tc>
          <w:tcPr>
            <w:tcW w:w="10440" w:type="dxa"/>
            <w:tcBorders>
              <w:left w:val="single" w:sz="12" w:space="0" w:color="auto"/>
              <w:right w:val="single" w:sz="12" w:space="0" w:color="auto"/>
            </w:tcBorders>
          </w:tcPr>
          <w:p w14:paraId="61E8B954" w14:textId="77777777" w:rsidR="00DC54EA" w:rsidRPr="009A13E9" w:rsidRDefault="00DC54EA">
            <w:pPr>
              <w:ind w:left="360" w:right="200"/>
              <w:jc w:val="both"/>
              <w:rPr>
                <w:rFonts w:ascii="New Century Schlbk" w:hAnsi="New Century Schlbk"/>
                <w:sz w:val="16"/>
              </w:rPr>
            </w:pPr>
          </w:p>
        </w:tc>
      </w:tr>
      <w:tr w:rsidR="00DC54EA" w:rsidRPr="009A13E9" w14:paraId="6744BFF2" w14:textId="77777777">
        <w:tc>
          <w:tcPr>
            <w:tcW w:w="10440" w:type="dxa"/>
            <w:tcBorders>
              <w:left w:val="single" w:sz="12" w:space="0" w:color="auto"/>
              <w:right w:val="single" w:sz="12" w:space="0" w:color="auto"/>
            </w:tcBorders>
          </w:tcPr>
          <w:p w14:paraId="75375856"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In the </w:t>
            </w:r>
            <w:r w:rsidRPr="007667C7">
              <w:rPr>
                <w:rFonts w:ascii="Arial" w:hAnsi="Arial"/>
                <w:i/>
                <w:sz w:val="20"/>
              </w:rPr>
              <w:t>Restatement</w:t>
            </w:r>
            <w:r w:rsidRPr="007667C7">
              <w:rPr>
                <w:rFonts w:ascii="Arial" w:hAnsi="Arial"/>
                <w:sz w:val="20"/>
              </w:rPr>
              <w:t>, an effort has been made to use only words with connotations familiar to the le</w:t>
            </w:r>
            <w:r w:rsidRPr="007667C7">
              <w:rPr>
                <w:rFonts w:ascii="Arial" w:hAnsi="Arial"/>
                <w:sz w:val="20"/>
              </w:rPr>
              <w:softHyphen/>
              <w:t>gal profession, and not to use two or more words to express the same legal concept.  Where a word fre</w:t>
            </w:r>
            <w:r w:rsidRPr="007667C7">
              <w:rPr>
                <w:rFonts w:ascii="Arial" w:hAnsi="Arial"/>
                <w:sz w:val="20"/>
              </w:rPr>
              <w:softHyphen/>
              <w:t>quently used has a variety of distinct meanings, one meaning has been selected and indicated by def</w:t>
            </w:r>
            <w:r w:rsidRPr="007667C7">
              <w:rPr>
                <w:rFonts w:ascii="Arial" w:hAnsi="Arial"/>
                <w:sz w:val="20"/>
              </w:rPr>
              <w:softHyphen/>
              <w:t>inition.   But it is obviously impossible to capture in a definition an entire complex institution such as “contract” or “promise.”  The operative facts necessary or sufficient to create legal relations and the legal relations created by those facts will appear with greater fullness in the succeeding chapters.</w:t>
            </w:r>
          </w:p>
        </w:tc>
      </w:tr>
      <w:tr w:rsidR="00DC54EA" w:rsidRPr="007667C7" w14:paraId="1E043583" w14:textId="77777777">
        <w:tc>
          <w:tcPr>
            <w:tcW w:w="10440" w:type="dxa"/>
            <w:tcBorders>
              <w:left w:val="single" w:sz="12" w:space="0" w:color="auto"/>
              <w:right w:val="single" w:sz="12" w:space="0" w:color="auto"/>
            </w:tcBorders>
          </w:tcPr>
          <w:p w14:paraId="5384858C" w14:textId="77777777" w:rsidR="00DC54EA" w:rsidRPr="009A13E9" w:rsidRDefault="00DC54EA">
            <w:pPr>
              <w:ind w:left="360" w:right="200"/>
              <w:jc w:val="both"/>
              <w:rPr>
                <w:rFonts w:ascii="New Century Schlbk" w:hAnsi="New Century Schlbk"/>
                <w:sz w:val="16"/>
              </w:rPr>
            </w:pPr>
          </w:p>
        </w:tc>
      </w:tr>
      <w:tr w:rsidR="00DC54EA" w:rsidRPr="009A13E9" w14:paraId="7A819458" w14:textId="77777777">
        <w:tc>
          <w:tcPr>
            <w:tcW w:w="10440" w:type="dxa"/>
            <w:tcBorders>
              <w:left w:val="single" w:sz="12" w:space="0" w:color="auto"/>
              <w:right w:val="single" w:sz="12" w:space="0" w:color="auto"/>
            </w:tcBorders>
          </w:tcPr>
          <w:p w14:paraId="22859A6A" w14:textId="77777777" w:rsidR="00DC54EA" w:rsidRPr="009A13E9" w:rsidRDefault="00DC54EA">
            <w:pPr>
              <w:ind w:left="360" w:right="200"/>
              <w:jc w:val="both"/>
              <w:rPr>
                <w:rFonts w:ascii="New Century Schlbk" w:hAnsi="New Century Schlbk"/>
                <w:sz w:val="20"/>
              </w:rPr>
            </w:pPr>
            <w:r w:rsidRPr="007667C7">
              <w:rPr>
                <w:rFonts w:ascii="Arial" w:hAnsi="Arial"/>
                <w:b/>
                <w:sz w:val="20"/>
              </w:rPr>
              <w:t>§ 1.  Contract Defined</w:t>
            </w:r>
          </w:p>
        </w:tc>
      </w:tr>
      <w:tr w:rsidR="00DC54EA" w:rsidRPr="009A13E9" w14:paraId="1B539DC5" w14:textId="77777777">
        <w:tc>
          <w:tcPr>
            <w:tcW w:w="10440" w:type="dxa"/>
            <w:tcBorders>
              <w:left w:val="single" w:sz="12" w:space="0" w:color="auto"/>
              <w:right w:val="single" w:sz="12" w:space="0" w:color="auto"/>
            </w:tcBorders>
          </w:tcPr>
          <w:p w14:paraId="5824EAE1" w14:textId="77777777" w:rsidR="00DC54EA" w:rsidRPr="009A13E9" w:rsidRDefault="00DC54EA">
            <w:pPr>
              <w:ind w:left="360" w:right="200"/>
              <w:jc w:val="both"/>
              <w:rPr>
                <w:rFonts w:ascii="New Century Schlbk" w:hAnsi="New Century Schlbk"/>
                <w:sz w:val="16"/>
              </w:rPr>
            </w:pPr>
          </w:p>
        </w:tc>
      </w:tr>
      <w:tr w:rsidR="00DC54EA" w:rsidRPr="009A13E9" w14:paraId="133BF136" w14:textId="77777777">
        <w:tc>
          <w:tcPr>
            <w:tcW w:w="10440" w:type="dxa"/>
            <w:tcBorders>
              <w:left w:val="single" w:sz="12" w:space="0" w:color="auto"/>
              <w:right w:val="single" w:sz="12" w:space="0" w:color="auto"/>
            </w:tcBorders>
          </w:tcPr>
          <w:p w14:paraId="71D854D9" w14:textId="77777777" w:rsidR="00DC54EA" w:rsidRPr="009A13E9" w:rsidRDefault="00DC54EA">
            <w:pPr>
              <w:ind w:left="360" w:right="200"/>
              <w:jc w:val="both"/>
              <w:rPr>
                <w:rFonts w:ascii="New Century Schlbk" w:hAnsi="New Century Schlbk"/>
                <w:sz w:val="20"/>
              </w:rPr>
            </w:pPr>
            <w:r w:rsidRPr="007667C7">
              <w:rPr>
                <w:rFonts w:ascii="Arial" w:hAnsi="Arial"/>
                <w:sz w:val="20"/>
              </w:rPr>
              <w:t>A contract is a promise or a set of promises for the breach of which the law gives a remedy, or the per</w:t>
            </w:r>
            <w:r w:rsidRPr="007667C7">
              <w:rPr>
                <w:rFonts w:ascii="Arial" w:hAnsi="Arial"/>
                <w:sz w:val="20"/>
              </w:rPr>
              <w:softHyphen/>
              <w:t>formance of which the law in some way recognizes as a duty.</w:t>
            </w:r>
          </w:p>
        </w:tc>
      </w:tr>
      <w:tr w:rsidR="00DC54EA" w:rsidRPr="007667C7" w14:paraId="31E5A095" w14:textId="77777777">
        <w:tc>
          <w:tcPr>
            <w:tcW w:w="10440" w:type="dxa"/>
            <w:tcBorders>
              <w:left w:val="single" w:sz="12" w:space="0" w:color="auto"/>
              <w:right w:val="single" w:sz="12" w:space="0" w:color="auto"/>
            </w:tcBorders>
          </w:tcPr>
          <w:p w14:paraId="7DA15923" w14:textId="77777777" w:rsidR="00DC54EA" w:rsidRPr="009A13E9" w:rsidRDefault="00DC54EA">
            <w:pPr>
              <w:ind w:left="360" w:right="200"/>
              <w:jc w:val="both"/>
              <w:rPr>
                <w:rFonts w:ascii="New Century Schlbk" w:hAnsi="New Century Schlbk"/>
                <w:sz w:val="16"/>
              </w:rPr>
            </w:pPr>
          </w:p>
        </w:tc>
      </w:tr>
      <w:tr w:rsidR="00DC54EA" w:rsidRPr="009A13E9" w14:paraId="411B16E8" w14:textId="77777777">
        <w:tc>
          <w:tcPr>
            <w:tcW w:w="10440" w:type="dxa"/>
            <w:tcBorders>
              <w:left w:val="single" w:sz="12" w:space="0" w:color="auto"/>
              <w:right w:val="single" w:sz="12" w:space="0" w:color="auto"/>
            </w:tcBorders>
          </w:tcPr>
          <w:p w14:paraId="514E3A30" w14:textId="77777777" w:rsidR="00DC54EA" w:rsidRPr="009A13E9" w:rsidRDefault="00DC54EA">
            <w:pPr>
              <w:ind w:left="360" w:right="200"/>
              <w:jc w:val="both"/>
              <w:rPr>
                <w:rFonts w:ascii="New Century Schlbk" w:hAnsi="New Century Schlbk"/>
                <w:sz w:val="20"/>
              </w:rPr>
            </w:pPr>
            <w:r w:rsidRPr="007667C7">
              <w:rPr>
                <w:rFonts w:ascii="Arial" w:hAnsi="Arial"/>
                <w:b/>
                <w:sz w:val="20"/>
              </w:rPr>
              <w:t>Comment:</w:t>
            </w:r>
          </w:p>
        </w:tc>
      </w:tr>
      <w:tr w:rsidR="00DC54EA" w:rsidRPr="009A13E9" w14:paraId="1653CBEB" w14:textId="77777777">
        <w:tc>
          <w:tcPr>
            <w:tcW w:w="10440" w:type="dxa"/>
            <w:tcBorders>
              <w:left w:val="single" w:sz="12" w:space="0" w:color="auto"/>
              <w:right w:val="single" w:sz="12" w:space="0" w:color="auto"/>
            </w:tcBorders>
          </w:tcPr>
          <w:p w14:paraId="474AA975" w14:textId="77777777" w:rsidR="00DC54EA" w:rsidRPr="009A13E9" w:rsidRDefault="00DC54EA">
            <w:pPr>
              <w:ind w:left="360" w:right="200"/>
              <w:jc w:val="both"/>
              <w:rPr>
                <w:rFonts w:ascii="New Century Schlbk" w:hAnsi="New Century Schlbk"/>
                <w:sz w:val="16"/>
              </w:rPr>
            </w:pPr>
          </w:p>
        </w:tc>
      </w:tr>
      <w:tr w:rsidR="00DC54EA" w:rsidRPr="009A13E9" w14:paraId="7137444C" w14:textId="77777777">
        <w:tc>
          <w:tcPr>
            <w:tcW w:w="10440" w:type="dxa"/>
            <w:tcBorders>
              <w:left w:val="single" w:sz="12" w:space="0" w:color="auto"/>
              <w:right w:val="single" w:sz="12" w:space="0" w:color="auto"/>
            </w:tcBorders>
          </w:tcPr>
          <w:p w14:paraId="27C2A4C1"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7667C7" w14:paraId="7B41C71F" w14:textId="77777777">
        <w:tc>
          <w:tcPr>
            <w:tcW w:w="10440" w:type="dxa"/>
            <w:tcBorders>
              <w:left w:val="single" w:sz="12" w:space="0" w:color="auto"/>
              <w:right w:val="single" w:sz="12" w:space="0" w:color="auto"/>
            </w:tcBorders>
          </w:tcPr>
          <w:p w14:paraId="7043FCAF" w14:textId="77777777" w:rsidR="00DC54EA" w:rsidRPr="009A13E9" w:rsidRDefault="00DC54EA">
            <w:pPr>
              <w:ind w:left="360" w:right="200"/>
              <w:jc w:val="both"/>
              <w:rPr>
                <w:rFonts w:ascii="New Century Schlbk" w:hAnsi="New Century Schlbk"/>
                <w:sz w:val="16"/>
              </w:rPr>
            </w:pPr>
          </w:p>
        </w:tc>
      </w:tr>
      <w:tr w:rsidR="00DC54EA" w:rsidRPr="009A13E9" w14:paraId="5EEC1319" w14:textId="77777777">
        <w:tc>
          <w:tcPr>
            <w:tcW w:w="10440" w:type="dxa"/>
            <w:tcBorders>
              <w:left w:val="single" w:sz="12" w:space="0" w:color="auto"/>
              <w:right w:val="single" w:sz="12" w:space="0" w:color="auto"/>
            </w:tcBorders>
          </w:tcPr>
          <w:p w14:paraId="2580F2B7" w14:textId="77777777" w:rsidR="00DC54EA" w:rsidRPr="009A13E9" w:rsidRDefault="00DC54EA">
            <w:pPr>
              <w:ind w:left="360" w:right="200"/>
              <w:jc w:val="both"/>
              <w:rPr>
                <w:rFonts w:ascii="New Century Schlbk" w:hAnsi="New Century Schlbk"/>
                <w:sz w:val="20"/>
              </w:rPr>
            </w:pPr>
            <w:r w:rsidRPr="007667C7">
              <w:rPr>
                <w:rFonts w:ascii="Arial" w:hAnsi="Arial"/>
                <w:b/>
                <w:sz w:val="20"/>
              </w:rPr>
              <w:t>c.    Set of promises.</w:t>
            </w:r>
            <w:r w:rsidRPr="007667C7">
              <w:rPr>
                <w:rFonts w:ascii="Arial" w:hAnsi="Arial"/>
                <w:sz w:val="20"/>
              </w:rPr>
              <w:t xml:space="preserve">  A contract may consist of a single promise by one person to another, or of mu</w:t>
            </w:r>
            <w:r w:rsidRPr="007667C7">
              <w:rPr>
                <w:rFonts w:ascii="Arial" w:hAnsi="Arial"/>
                <w:sz w:val="20"/>
              </w:rPr>
              <w:softHyphen/>
              <w:t>tual promises by two persons to one another; or there may be, indeed, any number of persons or any num</w:t>
            </w:r>
            <w:r w:rsidRPr="007667C7">
              <w:rPr>
                <w:rFonts w:ascii="Arial" w:hAnsi="Arial"/>
                <w:sz w:val="20"/>
              </w:rPr>
              <w:softHyphen/>
              <w:t>ber of promises.  One person may make several promises to one person or to several persons, or sev</w:t>
            </w:r>
            <w:r w:rsidRPr="007667C7">
              <w:rPr>
                <w:rFonts w:ascii="Arial" w:hAnsi="Arial"/>
                <w:sz w:val="20"/>
              </w:rPr>
              <w:softHyphen/>
              <w:t>eral per</w:t>
            </w:r>
            <w:r w:rsidRPr="007667C7">
              <w:rPr>
                <w:rFonts w:ascii="Arial" w:hAnsi="Arial"/>
                <w:sz w:val="20"/>
              </w:rPr>
              <w:softHyphen/>
              <w:t>sons may join in making promises to one or more persons.  To constitute a “set,” promises need not be made simultaneously; it is enough that several promises are regarded by the parties as constituting a single contract, or are so related in subject matter and performance that they may be considered and en</w:t>
            </w:r>
            <w:r w:rsidRPr="007667C7">
              <w:rPr>
                <w:rFonts w:ascii="Arial" w:hAnsi="Arial"/>
                <w:sz w:val="20"/>
              </w:rPr>
              <w:softHyphen/>
              <w:t>forced together by a court.</w:t>
            </w:r>
          </w:p>
        </w:tc>
      </w:tr>
      <w:tr w:rsidR="00DC54EA" w:rsidRPr="007667C7" w14:paraId="64DBB5E5" w14:textId="77777777">
        <w:tc>
          <w:tcPr>
            <w:tcW w:w="10440" w:type="dxa"/>
            <w:tcBorders>
              <w:left w:val="single" w:sz="12" w:space="0" w:color="auto"/>
              <w:bottom w:val="single" w:sz="12" w:space="0" w:color="auto"/>
              <w:right w:val="single" w:sz="12" w:space="0" w:color="auto"/>
            </w:tcBorders>
          </w:tcPr>
          <w:p w14:paraId="21A57DE6" w14:textId="77777777" w:rsidR="00DC54EA" w:rsidRPr="007667C7" w:rsidRDefault="00DC54EA">
            <w:pPr>
              <w:ind w:left="360" w:right="200"/>
              <w:jc w:val="both"/>
              <w:rPr>
                <w:rFonts w:ascii="Arial" w:hAnsi="Arial"/>
                <w:sz w:val="20"/>
              </w:rPr>
            </w:pPr>
          </w:p>
        </w:tc>
      </w:tr>
    </w:tbl>
    <w:p w14:paraId="5BDE0E1F" w14:textId="77777777" w:rsidR="00DC54EA" w:rsidRPr="007667C7" w:rsidRDefault="00DC54EA">
      <w:pPr>
        <w:jc w:val="both"/>
        <w:rPr>
          <w:rFonts w:ascii="Arial" w:hAnsi="Arial"/>
          <w:sz w:val="20"/>
        </w:rPr>
      </w:pPr>
    </w:p>
    <w:p w14:paraId="70D0A5BB" w14:textId="77777777" w:rsidR="00DC54EA" w:rsidRPr="007667C7" w:rsidRDefault="00DC54EA">
      <w:pPr>
        <w:ind w:left="720" w:hanging="720"/>
        <w:jc w:val="both"/>
        <w:rPr>
          <w:rFonts w:ascii="Arial" w:hAnsi="Arial"/>
          <w:b/>
        </w:rPr>
      </w:pPr>
      <w:r w:rsidRPr="007667C7">
        <w:rPr>
          <w:rFonts w:ascii="Arial" w:hAnsi="Arial"/>
          <w:b/>
        </w:rPr>
        <w:t>IV.</w:t>
      </w:r>
      <w:r w:rsidRPr="007667C7">
        <w:rPr>
          <w:rFonts w:ascii="Arial" w:hAnsi="Arial"/>
          <w:b/>
        </w:rPr>
        <w:tab/>
        <w:t xml:space="preserve">Schools of </w:t>
      </w:r>
      <w:r w:rsidR="00400C02" w:rsidRPr="007667C7">
        <w:rPr>
          <w:rFonts w:ascii="Arial" w:hAnsi="Arial"/>
          <w:b/>
        </w:rPr>
        <w:t>Legal</w:t>
      </w:r>
      <w:r w:rsidRPr="007667C7">
        <w:rPr>
          <w:rFonts w:ascii="Arial" w:hAnsi="Arial"/>
          <w:b/>
        </w:rPr>
        <w:t xml:space="preserve"> Thought</w:t>
      </w:r>
    </w:p>
    <w:p w14:paraId="0F72FB69" w14:textId="77777777" w:rsidR="00DC54EA" w:rsidRPr="007667C7" w:rsidRDefault="00DC54EA">
      <w:pPr>
        <w:ind w:left="1170" w:hanging="450"/>
        <w:jc w:val="both"/>
        <w:rPr>
          <w:rFonts w:ascii="Arial" w:hAnsi="Arial"/>
          <w:b/>
          <w:sz w:val="20"/>
        </w:rPr>
      </w:pPr>
    </w:p>
    <w:p w14:paraId="4923A404" w14:textId="77777777" w:rsidR="00DC54EA" w:rsidRPr="007667C7" w:rsidRDefault="00DC54EA">
      <w:pPr>
        <w:ind w:left="1170" w:hanging="450"/>
        <w:jc w:val="both"/>
        <w:rPr>
          <w:rFonts w:ascii="Arial" w:hAnsi="Arial"/>
          <w:b/>
          <w:smallCaps/>
          <w:sz w:val="20"/>
        </w:rPr>
      </w:pPr>
      <w:r w:rsidRPr="007667C7">
        <w:rPr>
          <w:rFonts w:ascii="Arial" w:hAnsi="Arial"/>
          <w:b/>
          <w:smallCaps/>
          <w:sz w:val="20"/>
        </w:rPr>
        <w:t>A.</w:t>
      </w:r>
      <w:r w:rsidRPr="007667C7">
        <w:rPr>
          <w:rFonts w:ascii="Arial" w:hAnsi="Arial"/>
          <w:b/>
          <w:smallCaps/>
          <w:sz w:val="20"/>
        </w:rPr>
        <w:tab/>
        <w:t>The Natural Law School</w:t>
      </w:r>
    </w:p>
    <w:p w14:paraId="7758021E" w14:textId="77777777" w:rsidR="00DC54EA" w:rsidRPr="007667C7" w:rsidRDefault="00DC54EA">
      <w:pPr>
        <w:ind w:left="1170" w:hanging="450"/>
        <w:jc w:val="both"/>
        <w:rPr>
          <w:rFonts w:ascii="Arial" w:hAnsi="Arial"/>
          <w:sz w:val="20"/>
        </w:rPr>
      </w:pPr>
      <w:r w:rsidRPr="007667C7">
        <w:rPr>
          <w:rFonts w:ascii="Arial" w:hAnsi="Arial"/>
          <w:sz w:val="20"/>
        </w:rPr>
        <w:tab/>
        <w:t xml:space="preserve">Adherents of the </w:t>
      </w:r>
      <w:r w:rsidRPr="007667C7">
        <w:rPr>
          <w:rFonts w:ascii="Arial" w:hAnsi="Arial"/>
          <w:i/>
          <w:sz w:val="20"/>
        </w:rPr>
        <w:t>natural law</w:t>
      </w:r>
      <w:r w:rsidRPr="007667C7">
        <w:rPr>
          <w:rFonts w:ascii="Arial" w:hAnsi="Arial"/>
          <w:sz w:val="20"/>
        </w:rPr>
        <w:t xml:space="preserve"> school believe that govern</w:t>
      </w:r>
      <w:r w:rsidRPr="007667C7">
        <w:rPr>
          <w:rFonts w:ascii="Arial" w:hAnsi="Arial"/>
          <w:sz w:val="20"/>
        </w:rPr>
        <w:softHyphen/>
        <w:t>ment and the legal system should reflect universal moral and ethical principles that are inher</w:t>
      </w:r>
      <w:r w:rsidRPr="007667C7">
        <w:rPr>
          <w:rFonts w:ascii="Arial" w:hAnsi="Arial"/>
          <w:sz w:val="20"/>
        </w:rPr>
        <w:softHyphen/>
        <w:t>ent in the na</w:t>
      </w:r>
      <w:r w:rsidRPr="007667C7">
        <w:rPr>
          <w:rFonts w:ascii="Arial" w:hAnsi="Arial"/>
          <w:sz w:val="20"/>
        </w:rPr>
        <w:softHyphen/>
        <w:t>ture of human life.</w:t>
      </w:r>
    </w:p>
    <w:p w14:paraId="065642D8" w14:textId="77777777" w:rsidR="00DC54EA" w:rsidRPr="007667C7" w:rsidRDefault="00DC54EA">
      <w:pPr>
        <w:ind w:left="1170" w:hanging="450"/>
        <w:jc w:val="both"/>
        <w:rPr>
          <w:rFonts w:ascii="Arial" w:hAnsi="Arial"/>
          <w:b/>
          <w:sz w:val="20"/>
        </w:rPr>
      </w:pPr>
    </w:p>
    <w:p w14:paraId="364F1B61" w14:textId="77777777" w:rsidR="00DC54EA" w:rsidRPr="007667C7" w:rsidRDefault="00DC54EA">
      <w:pPr>
        <w:ind w:left="1170" w:hanging="450"/>
        <w:jc w:val="both"/>
        <w:rPr>
          <w:rFonts w:ascii="Arial" w:hAnsi="Arial"/>
          <w:b/>
          <w:smallCaps/>
          <w:sz w:val="20"/>
        </w:rPr>
      </w:pPr>
      <w:r w:rsidRPr="007667C7">
        <w:rPr>
          <w:rFonts w:ascii="Arial" w:hAnsi="Arial"/>
          <w:b/>
          <w:smallCaps/>
          <w:sz w:val="20"/>
        </w:rPr>
        <w:t>B.</w:t>
      </w:r>
      <w:r w:rsidRPr="007667C7">
        <w:rPr>
          <w:rFonts w:ascii="Arial" w:hAnsi="Arial"/>
          <w:b/>
          <w:smallCaps/>
          <w:sz w:val="20"/>
        </w:rPr>
        <w:tab/>
        <w:t>The Positivist School</w:t>
      </w:r>
    </w:p>
    <w:p w14:paraId="13DA39F3" w14:textId="77777777" w:rsidR="00DC54EA" w:rsidRPr="007667C7" w:rsidRDefault="00DC54EA">
      <w:pPr>
        <w:ind w:left="1170" w:hanging="450"/>
        <w:jc w:val="both"/>
        <w:rPr>
          <w:rFonts w:ascii="Arial" w:hAnsi="Arial"/>
          <w:sz w:val="20"/>
        </w:rPr>
      </w:pPr>
      <w:r w:rsidRPr="007667C7">
        <w:rPr>
          <w:rFonts w:ascii="Arial" w:hAnsi="Arial"/>
          <w:sz w:val="20"/>
        </w:rPr>
        <w:tab/>
        <w:t xml:space="preserve">Followers of the </w:t>
      </w:r>
      <w:r w:rsidRPr="007667C7">
        <w:rPr>
          <w:rFonts w:ascii="Arial" w:hAnsi="Arial"/>
          <w:i/>
          <w:sz w:val="20"/>
        </w:rPr>
        <w:t>legal positivism</w:t>
      </w:r>
      <w:r w:rsidRPr="007667C7">
        <w:rPr>
          <w:rFonts w:ascii="Arial" w:hAnsi="Arial"/>
          <w:sz w:val="20"/>
        </w:rPr>
        <w:t xml:space="preserve"> believe that there can be no higher law than a nation’s positive law (the law created by a particular society at a particular point in time).</w:t>
      </w:r>
    </w:p>
    <w:p w14:paraId="35EDCD5C" w14:textId="77777777" w:rsidR="00DC54EA" w:rsidRPr="007667C7" w:rsidRDefault="00DC54EA">
      <w:pPr>
        <w:ind w:left="1170" w:hanging="450"/>
        <w:jc w:val="both"/>
        <w:rPr>
          <w:rFonts w:ascii="Arial" w:hAnsi="Arial"/>
          <w:b/>
          <w:sz w:val="20"/>
        </w:rPr>
      </w:pPr>
    </w:p>
    <w:p w14:paraId="7EEC1118" w14:textId="77777777" w:rsidR="00DC54EA" w:rsidRPr="007667C7" w:rsidRDefault="00DC54EA">
      <w:pPr>
        <w:ind w:left="1170" w:hanging="450"/>
        <w:jc w:val="both"/>
        <w:rPr>
          <w:rFonts w:ascii="Arial" w:hAnsi="Arial"/>
          <w:b/>
          <w:smallCaps/>
          <w:sz w:val="20"/>
        </w:rPr>
      </w:pPr>
      <w:r w:rsidRPr="007667C7">
        <w:rPr>
          <w:rFonts w:ascii="Arial" w:hAnsi="Arial"/>
          <w:b/>
          <w:smallCaps/>
          <w:sz w:val="20"/>
        </w:rPr>
        <w:lastRenderedPageBreak/>
        <w:t>C.</w:t>
      </w:r>
      <w:r w:rsidRPr="007667C7">
        <w:rPr>
          <w:rFonts w:ascii="Arial" w:hAnsi="Arial"/>
          <w:b/>
          <w:smallCaps/>
          <w:sz w:val="20"/>
        </w:rPr>
        <w:tab/>
        <w:t>The Historical School</w:t>
      </w:r>
    </w:p>
    <w:p w14:paraId="4158BB48" w14:textId="77777777" w:rsidR="00DC54EA" w:rsidRPr="007667C7" w:rsidRDefault="00DC54EA">
      <w:pPr>
        <w:ind w:left="1170" w:hanging="450"/>
        <w:jc w:val="both"/>
        <w:rPr>
          <w:rFonts w:ascii="Arial" w:hAnsi="Arial"/>
          <w:sz w:val="20"/>
        </w:rPr>
      </w:pPr>
      <w:r w:rsidRPr="007667C7">
        <w:rPr>
          <w:rFonts w:ascii="Arial" w:hAnsi="Arial"/>
          <w:sz w:val="20"/>
        </w:rPr>
        <w:tab/>
        <w:t xml:space="preserve">Those of the </w:t>
      </w:r>
      <w:r w:rsidRPr="007667C7">
        <w:rPr>
          <w:rFonts w:ascii="Arial" w:hAnsi="Arial"/>
          <w:i/>
          <w:sz w:val="20"/>
        </w:rPr>
        <w:t>historical school</w:t>
      </w:r>
      <w:r w:rsidRPr="007667C7">
        <w:rPr>
          <w:rFonts w:ascii="Arial" w:hAnsi="Arial"/>
          <w:sz w:val="20"/>
        </w:rPr>
        <w:t xml:space="preserve"> emphasize legal principles that were applied in the past.</w:t>
      </w:r>
    </w:p>
    <w:p w14:paraId="041592D9" w14:textId="77777777" w:rsidR="00DC54EA" w:rsidRPr="007667C7" w:rsidRDefault="00DC54EA">
      <w:pPr>
        <w:ind w:left="1170" w:hanging="450"/>
        <w:jc w:val="both"/>
        <w:rPr>
          <w:rFonts w:ascii="Arial" w:hAnsi="Arial"/>
          <w:sz w:val="20"/>
        </w:rPr>
      </w:pPr>
    </w:p>
    <w:p w14:paraId="4AAF5291" w14:textId="77777777" w:rsidR="00DC54EA" w:rsidRPr="007667C7" w:rsidRDefault="00DC54EA">
      <w:pPr>
        <w:ind w:left="1170" w:hanging="450"/>
        <w:jc w:val="both"/>
        <w:rPr>
          <w:rFonts w:ascii="Arial" w:hAnsi="Arial"/>
          <w:b/>
          <w:smallCaps/>
          <w:sz w:val="20"/>
        </w:rPr>
      </w:pPr>
      <w:r w:rsidRPr="007667C7">
        <w:rPr>
          <w:rFonts w:ascii="Arial" w:hAnsi="Arial"/>
          <w:b/>
          <w:smallCaps/>
          <w:sz w:val="20"/>
        </w:rPr>
        <w:t>D.</w:t>
      </w:r>
      <w:r w:rsidRPr="007667C7">
        <w:rPr>
          <w:rFonts w:ascii="Arial" w:hAnsi="Arial"/>
          <w:b/>
          <w:smallCaps/>
          <w:sz w:val="20"/>
        </w:rPr>
        <w:tab/>
        <w:t>Legal Realism</w:t>
      </w:r>
    </w:p>
    <w:p w14:paraId="42FF664F" w14:textId="77777777" w:rsidR="00DC54EA" w:rsidRPr="007667C7" w:rsidRDefault="00DC54EA">
      <w:pPr>
        <w:ind w:left="1170" w:hanging="450"/>
        <w:jc w:val="both"/>
        <w:rPr>
          <w:rFonts w:ascii="Arial" w:hAnsi="Arial"/>
          <w:sz w:val="20"/>
        </w:rPr>
      </w:pPr>
      <w:r w:rsidRPr="007667C7">
        <w:rPr>
          <w:rFonts w:ascii="Arial" w:hAnsi="Arial"/>
          <w:i/>
          <w:sz w:val="20"/>
        </w:rPr>
        <w:tab/>
        <w:t>Legal realists</w:t>
      </w:r>
      <w:r w:rsidRPr="007667C7">
        <w:rPr>
          <w:rFonts w:ascii="Arial" w:hAnsi="Arial"/>
          <w:sz w:val="20"/>
        </w:rPr>
        <w:t xml:space="preserve"> believe that judges are influ</w:t>
      </w:r>
      <w:r w:rsidRPr="007667C7">
        <w:rPr>
          <w:rFonts w:ascii="Arial" w:hAnsi="Arial"/>
          <w:sz w:val="20"/>
        </w:rPr>
        <w:softHyphen/>
        <w:t>enced by their unique individual beliefs and attitudes, that the application of precedent should be tempered by each case’s specific circum</w:t>
      </w:r>
      <w:r w:rsidRPr="007667C7">
        <w:rPr>
          <w:rFonts w:ascii="Arial" w:hAnsi="Arial"/>
          <w:sz w:val="20"/>
        </w:rPr>
        <w:softHyphen/>
        <w:t>stances, and that extra-legal sources should be considered in making decisions. This influenced the sociological school of jurisprudence, which views law as a tool to promote social justice.</w:t>
      </w:r>
    </w:p>
    <w:p w14:paraId="5B04B22C" w14:textId="77777777" w:rsidR="00DC54EA" w:rsidRPr="007667C7" w:rsidRDefault="00DC54EA">
      <w:pPr>
        <w:jc w:val="both"/>
        <w:rPr>
          <w:rFonts w:ascii="Arial" w:hAnsi="Arial"/>
          <w:b/>
        </w:rPr>
      </w:pPr>
    </w:p>
    <w:p w14:paraId="5E343B24" w14:textId="77777777" w:rsidR="00DC54EA" w:rsidRPr="007667C7" w:rsidRDefault="00DC54EA">
      <w:pPr>
        <w:ind w:left="720" w:hanging="720"/>
        <w:jc w:val="both"/>
        <w:rPr>
          <w:rFonts w:ascii="Arial" w:hAnsi="Arial"/>
          <w:b/>
        </w:rPr>
      </w:pPr>
      <w:r w:rsidRPr="007667C7">
        <w:rPr>
          <w:rFonts w:ascii="Arial" w:hAnsi="Arial"/>
          <w:b/>
        </w:rPr>
        <w:t>V.</w:t>
      </w:r>
      <w:r w:rsidRPr="007667C7">
        <w:rPr>
          <w:rFonts w:ascii="Arial" w:hAnsi="Arial"/>
          <w:b/>
        </w:rPr>
        <w:tab/>
        <w:t>Classifications of Law</w:t>
      </w:r>
    </w:p>
    <w:p w14:paraId="14CDC945" w14:textId="77777777" w:rsidR="00DC54EA" w:rsidRPr="007667C7" w:rsidRDefault="00DC54EA">
      <w:pPr>
        <w:ind w:left="720" w:hanging="720"/>
        <w:jc w:val="both"/>
        <w:rPr>
          <w:rFonts w:ascii="Arial" w:hAnsi="Arial"/>
          <w:sz w:val="20"/>
        </w:rPr>
      </w:pPr>
      <w:r w:rsidRPr="007667C7">
        <w:rPr>
          <w:rFonts w:ascii="Arial" w:hAnsi="Arial"/>
          <w:sz w:val="20"/>
        </w:rPr>
        <w:tab/>
      </w:r>
      <w:r w:rsidRPr="007667C7">
        <w:rPr>
          <w:rFonts w:ascii="Arial" w:hAnsi="Arial"/>
          <w:i/>
          <w:sz w:val="20"/>
        </w:rPr>
        <w:t>Substantive law</w:t>
      </w:r>
      <w:r w:rsidRPr="007667C7">
        <w:rPr>
          <w:rFonts w:ascii="Arial" w:hAnsi="Arial"/>
          <w:sz w:val="20"/>
        </w:rPr>
        <w:t xml:space="preserve"> defines, describes, regulates, and cre</w:t>
      </w:r>
      <w:r w:rsidRPr="007667C7">
        <w:rPr>
          <w:rFonts w:ascii="Arial" w:hAnsi="Arial"/>
          <w:sz w:val="20"/>
        </w:rPr>
        <w:softHyphen/>
        <w:t>ates rights and du</w:t>
      </w:r>
      <w:r w:rsidRPr="007667C7">
        <w:rPr>
          <w:rFonts w:ascii="Arial" w:hAnsi="Arial"/>
          <w:sz w:val="20"/>
        </w:rPr>
        <w:softHyphen/>
        <w:t xml:space="preserve">ties. </w:t>
      </w:r>
      <w:r w:rsidRPr="007667C7">
        <w:rPr>
          <w:rFonts w:ascii="Arial" w:hAnsi="Arial"/>
          <w:i/>
          <w:sz w:val="20"/>
        </w:rPr>
        <w:t>Procedural law</w:t>
      </w:r>
      <w:r w:rsidRPr="007667C7">
        <w:rPr>
          <w:rFonts w:ascii="Arial" w:hAnsi="Arial"/>
          <w:sz w:val="20"/>
        </w:rPr>
        <w:t xml:space="preserve"> includes rules for enforcing those rights. Other classifications include splitting law into federal and state divisions or private and public categories. One of the broadest classification systems divides law into national law and international law.</w:t>
      </w:r>
    </w:p>
    <w:p w14:paraId="35AF12D7" w14:textId="77777777" w:rsidR="00DC54EA" w:rsidRPr="007667C7" w:rsidRDefault="00DC54EA">
      <w:pPr>
        <w:ind w:left="720"/>
        <w:jc w:val="both"/>
        <w:rPr>
          <w:rFonts w:ascii="Arial" w:hAnsi="Arial"/>
          <w:sz w:val="20"/>
        </w:rPr>
      </w:pPr>
    </w:p>
    <w:p w14:paraId="1872937B" w14:textId="77777777" w:rsidR="00DC54EA" w:rsidRPr="007667C7" w:rsidRDefault="00DC54EA">
      <w:pPr>
        <w:ind w:left="1160" w:hanging="440"/>
        <w:jc w:val="both"/>
        <w:rPr>
          <w:rFonts w:ascii="Arial" w:hAnsi="Arial"/>
          <w:b/>
          <w:smallCaps/>
          <w:sz w:val="20"/>
        </w:rPr>
      </w:pPr>
      <w:r w:rsidRPr="007667C7">
        <w:rPr>
          <w:rFonts w:ascii="Arial" w:hAnsi="Arial"/>
          <w:b/>
          <w:smallCaps/>
          <w:sz w:val="20"/>
        </w:rPr>
        <w:t>A.</w:t>
      </w:r>
      <w:r w:rsidRPr="007667C7">
        <w:rPr>
          <w:rFonts w:ascii="Arial" w:hAnsi="Arial"/>
          <w:b/>
          <w:smallCaps/>
          <w:sz w:val="20"/>
        </w:rPr>
        <w:tab/>
        <w:t>Civil Law and Criminal Law</w:t>
      </w:r>
    </w:p>
    <w:p w14:paraId="7E909332" w14:textId="77777777" w:rsidR="00DC54EA" w:rsidRPr="007667C7" w:rsidRDefault="00DC54EA">
      <w:pPr>
        <w:tabs>
          <w:tab w:val="left" w:pos="1170"/>
        </w:tabs>
        <w:ind w:left="1170" w:hanging="450"/>
        <w:jc w:val="both"/>
        <w:rPr>
          <w:rFonts w:ascii="Arial" w:hAnsi="Arial"/>
          <w:sz w:val="20"/>
        </w:rPr>
      </w:pPr>
      <w:r w:rsidRPr="007667C7">
        <w:rPr>
          <w:rFonts w:ascii="Arial" w:hAnsi="Arial"/>
          <w:i/>
          <w:sz w:val="20"/>
        </w:rPr>
        <w:tab/>
        <w:t>Civil law</w:t>
      </w:r>
      <w:r w:rsidRPr="009A13E9">
        <w:rPr>
          <w:rFonts w:ascii="Palatino" w:hAnsi="Palatino"/>
          <w:sz w:val="20"/>
        </w:rPr>
        <w:t xml:space="preserve"> regulates relation</w:t>
      </w:r>
      <w:r w:rsidRPr="009A13E9">
        <w:rPr>
          <w:rFonts w:ascii="Palatino" w:hAnsi="Palatino"/>
          <w:sz w:val="20"/>
        </w:rPr>
        <w:softHyphen/>
        <w:t xml:space="preserve">ships between persons and between persons and their governments, and </w:t>
      </w:r>
      <w:r w:rsidRPr="007667C7">
        <w:rPr>
          <w:rFonts w:ascii="Arial" w:hAnsi="Arial"/>
          <w:sz w:val="20"/>
        </w:rPr>
        <w:t>the relief available when their rights are violated.</w:t>
      </w:r>
      <w:r w:rsidRPr="007667C7">
        <w:rPr>
          <w:rFonts w:ascii="Arial" w:hAnsi="Arial"/>
          <w:i/>
          <w:sz w:val="20"/>
        </w:rPr>
        <w:t xml:space="preserve"> Criminal law</w:t>
      </w:r>
      <w:r w:rsidRPr="007667C7">
        <w:rPr>
          <w:rFonts w:ascii="Arial" w:hAnsi="Arial"/>
          <w:sz w:val="20"/>
        </w:rPr>
        <w:t xml:space="preserve"> regulates relationships between individuals and society, and prescribes punishment for proscribed acts.</w:t>
      </w:r>
    </w:p>
    <w:p w14:paraId="0B6BEA3E" w14:textId="77777777" w:rsidR="00DC54EA" w:rsidRPr="007667C7" w:rsidRDefault="00DC54EA">
      <w:pPr>
        <w:tabs>
          <w:tab w:val="left" w:pos="1170"/>
        </w:tabs>
        <w:ind w:left="1170" w:hanging="450"/>
        <w:jc w:val="both"/>
        <w:rPr>
          <w:rFonts w:ascii="Arial" w:hAnsi="Arial"/>
          <w:sz w:val="20"/>
        </w:rPr>
      </w:pPr>
    </w:p>
    <w:p w14:paraId="4605F06A" w14:textId="77777777" w:rsidR="00DC54EA" w:rsidRPr="007667C7" w:rsidRDefault="00DC54EA">
      <w:pPr>
        <w:tabs>
          <w:tab w:val="left" w:pos="2060"/>
        </w:tabs>
        <w:ind w:left="1080" w:hanging="360"/>
        <w:jc w:val="both"/>
        <w:rPr>
          <w:rFonts w:ascii="Arial" w:hAnsi="Arial"/>
          <w:smallCaps/>
          <w:sz w:val="20"/>
        </w:rPr>
      </w:pPr>
      <w:r w:rsidRPr="007667C7">
        <w:rPr>
          <w:rFonts w:ascii="Arial" w:hAnsi="Arial"/>
          <w:b/>
          <w:smallCaps/>
          <w:sz w:val="20"/>
        </w:rPr>
        <w:t>B.</w:t>
      </w:r>
      <w:r w:rsidRPr="007667C7">
        <w:rPr>
          <w:rFonts w:ascii="Arial" w:hAnsi="Arial"/>
          <w:b/>
          <w:smallCaps/>
          <w:sz w:val="20"/>
        </w:rPr>
        <w:tab/>
        <w:t xml:space="preserve">Cyberlaw </w:t>
      </w:r>
    </w:p>
    <w:p w14:paraId="6CE4EC92" w14:textId="77777777" w:rsidR="00DC54EA" w:rsidRPr="007667C7" w:rsidRDefault="00DC54EA">
      <w:pPr>
        <w:ind w:left="1170" w:hanging="450"/>
        <w:jc w:val="both"/>
        <w:rPr>
          <w:rFonts w:ascii="Arial" w:hAnsi="Arial"/>
          <w:sz w:val="20"/>
        </w:rPr>
      </w:pPr>
      <w:r w:rsidRPr="007667C7">
        <w:rPr>
          <w:rFonts w:ascii="Arial" w:hAnsi="Arial"/>
          <w:sz w:val="20"/>
        </w:rPr>
        <w:tab/>
        <w:t>Cyberlaw is an informal term that describes the body of case and statutory law dealing specifically with issues raised in the context of the Internet.</w:t>
      </w:r>
    </w:p>
    <w:p w14:paraId="2554839E" w14:textId="77777777" w:rsidR="00DC54EA" w:rsidRPr="007667C7" w:rsidRDefault="00DC54EA">
      <w:pPr>
        <w:rPr>
          <w:rFonts w:ascii="Arial" w:hAnsi="Arial"/>
        </w:rPr>
      </w:pPr>
    </w:p>
    <w:p w14:paraId="364A1180" w14:textId="77777777" w:rsidR="00DC54EA" w:rsidRPr="007667C7" w:rsidRDefault="00DC54EA">
      <w:pPr>
        <w:ind w:left="720" w:hanging="720"/>
        <w:jc w:val="both"/>
        <w:rPr>
          <w:rFonts w:ascii="Arial" w:hAnsi="Arial"/>
          <w:b/>
        </w:rPr>
      </w:pPr>
      <w:r w:rsidRPr="007667C7">
        <w:rPr>
          <w:rFonts w:ascii="Arial" w:hAnsi="Arial"/>
          <w:b/>
        </w:rPr>
        <w:t>VI.</w:t>
      </w:r>
      <w:r w:rsidRPr="007667C7">
        <w:rPr>
          <w:rFonts w:ascii="Arial" w:hAnsi="Arial"/>
          <w:b/>
        </w:rPr>
        <w:tab/>
        <w:t>How to Find Primary Sources of Law</w:t>
      </w:r>
    </w:p>
    <w:p w14:paraId="528E31D1" w14:textId="77777777" w:rsidR="00DC54EA" w:rsidRPr="007667C7" w:rsidRDefault="00DC54EA">
      <w:pPr>
        <w:ind w:left="720"/>
        <w:jc w:val="both"/>
        <w:rPr>
          <w:rFonts w:ascii="Arial" w:hAnsi="Arial"/>
          <w:sz w:val="20"/>
        </w:rPr>
      </w:pPr>
      <w:r w:rsidRPr="007667C7">
        <w:rPr>
          <w:rFonts w:ascii="Arial" w:hAnsi="Arial"/>
          <w:sz w:val="20"/>
        </w:rPr>
        <w:t>A brief introduction to case reporting systems and legal citations is included in the text.  Also discussed are pub</w:t>
      </w:r>
      <w:r w:rsidRPr="007667C7">
        <w:rPr>
          <w:rFonts w:ascii="Arial" w:hAnsi="Arial"/>
          <w:sz w:val="20"/>
        </w:rPr>
        <w:softHyphen/>
        <w:t>li</w:t>
      </w:r>
      <w:r w:rsidRPr="007667C7">
        <w:rPr>
          <w:rFonts w:ascii="Arial" w:hAnsi="Arial"/>
          <w:sz w:val="20"/>
        </w:rPr>
        <w:softHyphen/>
        <w:t>cations collecting statutes and administrative regulations.</w:t>
      </w:r>
    </w:p>
    <w:p w14:paraId="341A025B" w14:textId="77777777" w:rsidR="00F2196F" w:rsidRPr="007667C7" w:rsidRDefault="00F2196F" w:rsidP="00F2196F">
      <w:pPr>
        <w:tabs>
          <w:tab w:val="left" w:pos="720"/>
        </w:tabs>
        <w:ind w:left="1170" w:hanging="450"/>
        <w:jc w:val="both"/>
        <w:rPr>
          <w:rFonts w:ascii="Arial" w:hAnsi="Arial"/>
        </w:rPr>
      </w:pPr>
    </w:p>
    <w:p w14:paraId="64D93852" w14:textId="77777777" w:rsidR="00F2196F" w:rsidRPr="007667C7" w:rsidRDefault="00F2196F" w:rsidP="00F2196F">
      <w:pPr>
        <w:ind w:left="1170" w:hanging="450"/>
        <w:jc w:val="both"/>
        <w:rPr>
          <w:rFonts w:ascii="Arial" w:hAnsi="Arial"/>
          <w:b/>
          <w:smallCaps/>
          <w:sz w:val="20"/>
        </w:rPr>
      </w:pPr>
      <w:r w:rsidRPr="007667C7">
        <w:rPr>
          <w:rFonts w:ascii="Arial" w:hAnsi="Arial"/>
          <w:b/>
          <w:smallCaps/>
          <w:sz w:val="20"/>
        </w:rPr>
        <w:t>A.</w:t>
      </w:r>
      <w:r w:rsidRPr="007667C7">
        <w:rPr>
          <w:rFonts w:ascii="Arial" w:hAnsi="Arial"/>
          <w:b/>
          <w:smallCaps/>
          <w:sz w:val="20"/>
        </w:rPr>
        <w:tab/>
        <w:t>Finding Statutory and Administrative Law</w:t>
      </w:r>
    </w:p>
    <w:p w14:paraId="7C5284C4" w14:textId="77777777" w:rsidR="00F2196F" w:rsidRPr="007667C7" w:rsidRDefault="00F2196F" w:rsidP="00F2196F">
      <w:pPr>
        <w:ind w:left="1170" w:hanging="450"/>
        <w:jc w:val="both"/>
        <w:rPr>
          <w:rFonts w:ascii="Arial" w:hAnsi="Arial"/>
          <w:sz w:val="20"/>
        </w:rPr>
      </w:pPr>
      <w:r w:rsidRPr="007667C7">
        <w:rPr>
          <w:rFonts w:ascii="Arial" w:hAnsi="Arial"/>
          <w:sz w:val="20"/>
        </w:rPr>
        <w:tab/>
        <w:t>Publications collecting statutes and administrative regulations are discussed in the text.</w:t>
      </w:r>
    </w:p>
    <w:p w14:paraId="04BC5163" w14:textId="77777777" w:rsidR="00F2196F" w:rsidRPr="007667C7" w:rsidRDefault="00F2196F" w:rsidP="00F2196F">
      <w:pPr>
        <w:ind w:left="1170" w:hanging="450"/>
        <w:jc w:val="both"/>
        <w:rPr>
          <w:rFonts w:ascii="Arial" w:hAnsi="Arial"/>
        </w:rPr>
      </w:pPr>
    </w:p>
    <w:p w14:paraId="478AF1F2" w14:textId="77777777" w:rsidR="00F2196F" w:rsidRPr="007667C7" w:rsidRDefault="00F2196F" w:rsidP="00F2196F">
      <w:pPr>
        <w:ind w:left="1170" w:hanging="450"/>
        <w:jc w:val="both"/>
        <w:rPr>
          <w:rFonts w:ascii="Arial" w:hAnsi="Arial"/>
          <w:b/>
          <w:smallCaps/>
          <w:sz w:val="20"/>
        </w:rPr>
      </w:pPr>
      <w:r w:rsidRPr="007667C7">
        <w:rPr>
          <w:rFonts w:ascii="Arial" w:hAnsi="Arial"/>
          <w:b/>
          <w:smallCaps/>
          <w:sz w:val="20"/>
        </w:rPr>
        <w:t>B.</w:t>
      </w:r>
      <w:r w:rsidRPr="007667C7">
        <w:rPr>
          <w:rFonts w:ascii="Arial" w:hAnsi="Arial"/>
          <w:b/>
          <w:smallCaps/>
          <w:sz w:val="20"/>
        </w:rPr>
        <w:tab/>
        <w:t>Finding Case Law</w:t>
      </w:r>
    </w:p>
    <w:p w14:paraId="3870A67C" w14:textId="77777777" w:rsidR="00F2196F" w:rsidRPr="007667C7" w:rsidRDefault="00F2196F" w:rsidP="00F2196F">
      <w:pPr>
        <w:ind w:left="1170" w:hanging="450"/>
        <w:jc w:val="both"/>
        <w:rPr>
          <w:rFonts w:ascii="Arial" w:hAnsi="Arial"/>
          <w:sz w:val="20"/>
        </w:rPr>
      </w:pPr>
      <w:r w:rsidRPr="007667C7">
        <w:rPr>
          <w:rFonts w:ascii="Arial" w:hAnsi="Arial"/>
          <w:sz w:val="20"/>
        </w:rPr>
        <w:tab/>
        <w:t>A brief introduction to case reporting systems and legal citations is also included.</w:t>
      </w:r>
    </w:p>
    <w:p w14:paraId="54AFA728" w14:textId="77777777" w:rsidR="00DC54EA" w:rsidRPr="007667C7" w:rsidRDefault="00DC54EA">
      <w:pPr>
        <w:jc w:val="both"/>
        <w:rPr>
          <w:rFonts w:ascii="Arial" w:hAnsi="Arial"/>
          <w:sz w:val="20"/>
        </w:rPr>
      </w:pPr>
    </w:p>
    <w:p w14:paraId="71AC87A3" w14:textId="77777777" w:rsidR="00DC54EA" w:rsidRPr="007667C7" w:rsidRDefault="00DC54EA">
      <w:pPr>
        <w:ind w:left="720" w:hanging="720"/>
        <w:jc w:val="both"/>
        <w:rPr>
          <w:rFonts w:ascii="Arial" w:hAnsi="Arial"/>
          <w:b/>
        </w:rPr>
      </w:pPr>
      <w:r w:rsidRPr="007667C7">
        <w:rPr>
          <w:rFonts w:ascii="Arial" w:hAnsi="Arial"/>
          <w:b/>
        </w:rPr>
        <w:t>VII.</w:t>
      </w:r>
      <w:r w:rsidRPr="007667C7">
        <w:rPr>
          <w:rFonts w:ascii="Arial" w:hAnsi="Arial"/>
          <w:b/>
        </w:rPr>
        <w:tab/>
        <w:t>How to Read and Understand Case Law</w:t>
      </w:r>
    </w:p>
    <w:p w14:paraId="02DC7DD1" w14:textId="77777777" w:rsidR="00DC54EA" w:rsidRPr="007667C7" w:rsidRDefault="00DC54EA">
      <w:pPr>
        <w:ind w:left="720"/>
        <w:jc w:val="both"/>
        <w:rPr>
          <w:rFonts w:ascii="Arial" w:hAnsi="Arial"/>
          <w:sz w:val="20"/>
        </w:rPr>
      </w:pPr>
      <w:r w:rsidRPr="007667C7">
        <w:rPr>
          <w:rFonts w:ascii="Arial" w:hAnsi="Arial"/>
          <w:sz w:val="20"/>
        </w:rPr>
        <w:t>To assist students in reading and analyzing the court opinions digested in the text, the format is dissected, terms are defined, and a sample case is annotated.</w:t>
      </w:r>
    </w:p>
    <w:p w14:paraId="5FD3694E" w14:textId="77777777" w:rsidR="00DC54EA" w:rsidRPr="007667C7" w:rsidRDefault="00DC54EA" w:rsidP="00FF07E4">
      <w:pPr>
        <w:tabs>
          <w:tab w:val="left" w:pos="0"/>
          <w:tab w:val="left" w:pos="720"/>
          <w:tab w:val="left" w:pos="800"/>
        </w:tabs>
        <w:ind w:right="360"/>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59A1061F" w14:textId="77777777">
        <w:tc>
          <w:tcPr>
            <w:tcW w:w="10440" w:type="dxa"/>
            <w:tcBorders>
              <w:top w:val="single" w:sz="12" w:space="0" w:color="auto"/>
              <w:left w:val="single" w:sz="12" w:space="0" w:color="auto"/>
              <w:right w:val="single" w:sz="12" w:space="0" w:color="auto"/>
            </w:tcBorders>
          </w:tcPr>
          <w:p w14:paraId="4C7BBFE3" w14:textId="77777777" w:rsidR="00DC54EA" w:rsidRPr="007667C7" w:rsidRDefault="00DC54EA">
            <w:pPr>
              <w:ind w:left="360" w:right="200"/>
              <w:jc w:val="both"/>
              <w:rPr>
                <w:rFonts w:ascii="Arial" w:hAnsi="Arial"/>
                <w:b/>
                <w:smallCaps/>
                <w:sz w:val="20"/>
              </w:rPr>
            </w:pPr>
          </w:p>
          <w:p w14:paraId="427D3D2F" w14:textId="77777777" w:rsidR="00DC54EA" w:rsidRPr="007667C7" w:rsidRDefault="00DC54EA">
            <w:pPr>
              <w:ind w:left="360" w:right="200"/>
              <w:jc w:val="center"/>
              <w:rPr>
                <w:rFonts w:ascii="Arial" w:hAnsi="Arial"/>
                <w:smallCaps/>
                <w:sz w:val="20"/>
              </w:rPr>
            </w:pPr>
            <w:r w:rsidRPr="007667C7">
              <w:rPr>
                <w:rFonts w:ascii="Arial" w:hAnsi="Arial"/>
                <w:b/>
                <w:smallCaps/>
                <w:sz w:val="20"/>
              </w:rPr>
              <w:t>Additional Background—</w:t>
            </w:r>
          </w:p>
        </w:tc>
      </w:tr>
      <w:tr w:rsidR="00DC54EA" w:rsidRPr="007667C7" w14:paraId="438936F9" w14:textId="77777777">
        <w:tc>
          <w:tcPr>
            <w:tcW w:w="10440" w:type="dxa"/>
            <w:tcBorders>
              <w:left w:val="single" w:sz="12" w:space="0" w:color="auto"/>
              <w:right w:val="single" w:sz="12" w:space="0" w:color="auto"/>
            </w:tcBorders>
          </w:tcPr>
          <w:p w14:paraId="1174A922" w14:textId="77777777" w:rsidR="00DC54EA" w:rsidRPr="009A13E9" w:rsidRDefault="00DC54EA">
            <w:pPr>
              <w:ind w:left="360" w:right="200"/>
              <w:jc w:val="both"/>
              <w:rPr>
                <w:rFonts w:ascii="New Century Schlbk" w:hAnsi="New Century Schlbk"/>
                <w:sz w:val="16"/>
              </w:rPr>
            </w:pPr>
          </w:p>
        </w:tc>
      </w:tr>
      <w:tr w:rsidR="00DC54EA" w:rsidRPr="009A13E9" w14:paraId="0A52525D" w14:textId="77777777">
        <w:tc>
          <w:tcPr>
            <w:tcW w:w="10440" w:type="dxa"/>
            <w:tcBorders>
              <w:left w:val="single" w:sz="12" w:space="0" w:color="auto"/>
              <w:right w:val="single" w:sz="12" w:space="0" w:color="auto"/>
            </w:tcBorders>
          </w:tcPr>
          <w:p w14:paraId="020EBC16" w14:textId="77777777" w:rsidR="00DC54EA" w:rsidRPr="007667C7" w:rsidRDefault="00DC54EA">
            <w:pPr>
              <w:ind w:left="360" w:right="200"/>
              <w:jc w:val="center"/>
              <w:rPr>
                <w:rFonts w:ascii="Arial" w:hAnsi="Arial"/>
              </w:rPr>
            </w:pPr>
            <w:r w:rsidRPr="007667C7">
              <w:rPr>
                <w:rFonts w:ascii="Arial" w:hAnsi="Arial"/>
                <w:b/>
              </w:rPr>
              <w:t xml:space="preserve">West’s </w:t>
            </w:r>
            <w:r w:rsidRPr="007667C7">
              <w:rPr>
                <w:rFonts w:ascii="Arial" w:hAnsi="Arial"/>
                <w:b/>
                <w:i/>
              </w:rPr>
              <w:t>Federal Reporter</w:t>
            </w:r>
          </w:p>
        </w:tc>
      </w:tr>
      <w:tr w:rsidR="00DC54EA" w:rsidRPr="009A13E9" w14:paraId="79FF8B06" w14:textId="77777777">
        <w:tc>
          <w:tcPr>
            <w:tcW w:w="10440" w:type="dxa"/>
            <w:tcBorders>
              <w:left w:val="single" w:sz="12" w:space="0" w:color="auto"/>
              <w:right w:val="single" w:sz="12" w:space="0" w:color="auto"/>
            </w:tcBorders>
          </w:tcPr>
          <w:p w14:paraId="132E805F" w14:textId="77777777" w:rsidR="00DC54EA" w:rsidRPr="009A13E9" w:rsidRDefault="00DC54EA">
            <w:pPr>
              <w:ind w:left="360" w:right="200"/>
              <w:jc w:val="both"/>
              <w:rPr>
                <w:rFonts w:ascii="New Century Schlbk" w:hAnsi="New Century Schlbk"/>
                <w:sz w:val="16"/>
              </w:rPr>
            </w:pPr>
          </w:p>
        </w:tc>
      </w:tr>
      <w:tr w:rsidR="00DC54EA" w:rsidRPr="009A13E9" w14:paraId="275724D6" w14:textId="77777777">
        <w:tc>
          <w:tcPr>
            <w:tcW w:w="10440" w:type="dxa"/>
            <w:tcBorders>
              <w:left w:val="single" w:sz="12" w:space="0" w:color="auto"/>
              <w:right w:val="single" w:sz="12" w:space="0" w:color="auto"/>
            </w:tcBorders>
          </w:tcPr>
          <w:p w14:paraId="5B8563EB" w14:textId="77777777" w:rsidR="00DC54EA" w:rsidRPr="007667C7" w:rsidRDefault="00DC54EA">
            <w:pPr>
              <w:ind w:left="360" w:right="200"/>
              <w:jc w:val="both"/>
              <w:rPr>
                <w:rFonts w:ascii="Arial" w:hAnsi="Arial"/>
                <w:sz w:val="20"/>
              </w:rPr>
            </w:pPr>
            <w:r w:rsidRPr="007667C7">
              <w:rPr>
                <w:rFonts w:ascii="Arial" w:hAnsi="Arial"/>
                <w:sz w:val="20"/>
              </w:rPr>
              <w:tab/>
              <w:t xml:space="preserve">West Publishing Company publishes federal court decisions unofficially in a variety of publications.  West organizes these reports by court level and issues them chronologically.  Opinions from the United States Court of Appeals, for example, are reported in </w:t>
            </w:r>
            <w:r w:rsidRPr="007667C7">
              <w:rPr>
                <w:rFonts w:ascii="Arial" w:hAnsi="Arial"/>
                <w:b/>
                <w:sz w:val="20"/>
              </w:rPr>
              <w:t xml:space="preserve">West’s </w:t>
            </w:r>
            <w:r w:rsidRPr="007667C7">
              <w:rPr>
                <w:rFonts w:ascii="Arial" w:hAnsi="Arial"/>
                <w:b/>
                <w:i/>
                <w:sz w:val="20"/>
              </w:rPr>
              <w:t>Federal Reporter</w:t>
            </w:r>
            <w:r w:rsidRPr="007667C7">
              <w:rPr>
                <w:rFonts w:ascii="Arial" w:hAnsi="Arial"/>
                <w:sz w:val="20"/>
              </w:rPr>
              <w:t>.  West pub</w:t>
            </w:r>
            <w:r w:rsidRPr="007667C7">
              <w:rPr>
                <w:rFonts w:ascii="Arial" w:hAnsi="Arial"/>
                <w:sz w:val="20"/>
              </w:rPr>
              <w:softHyphen/>
              <w:t>lishes these decisions with headnotes condensing important legal points in the cases.  The head</w:t>
            </w:r>
            <w:r w:rsidRPr="007667C7">
              <w:rPr>
                <w:rFonts w:ascii="Arial" w:hAnsi="Arial"/>
                <w:sz w:val="20"/>
              </w:rPr>
              <w:softHyphen/>
              <w:t xml:space="preserve">notes are assigned key numbers </w:t>
            </w:r>
            <w:r w:rsidRPr="007667C7">
              <w:rPr>
                <w:rFonts w:ascii="Arial" w:hAnsi="Arial"/>
                <w:sz w:val="20"/>
              </w:rPr>
              <w:lastRenderedPageBreak/>
              <w:t>that cross-reference the points to similar points in cases re</w:t>
            </w:r>
            <w:r w:rsidRPr="007667C7">
              <w:rPr>
                <w:rFonts w:ascii="Arial" w:hAnsi="Arial"/>
                <w:sz w:val="20"/>
              </w:rPr>
              <w:softHyphen/>
              <w:t xml:space="preserve">ported in other West publications.  The following are excerpts from </w:t>
            </w:r>
            <w:r w:rsidRPr="007667C7">
              <w:rPr>
                <w:rFonts w:ascii="Arial" w:hAnsi="Arial"/>
                <w:i/>
                <w:sz w:val="20"/>
              </w:rPr>
              <w:t>Ferguson v. Commissioner of Internal Revenue</w:t>
            </w:r>
            <w:r w:rsidRPr="007667C7">
              <w:rPr>
                <w:rFonts w:ascii="Arial" w:hAnsi="Arial"/>
                <w:sz w:val="20"/>
              </w:rPr>
              <w:t>, as pub</w:t>
            </w:r>
            <w:r w:rsidRPr="007667C7">
              <w:rPr>
                <w:rFonts w:ascii="Arial" w:hAnsi="Arial"/>
                <w:sz w:val="20"/>
              </w:rPr>
              <w:softHyphen/>
              <w:t>lished with headnotes in West’s</w:t>
            </w:r>
            <w:r w:rsidRPr="007667C7">
              <w:rPr>
                <w:rFonts w:ascii="Arial" w:hAnsi="Arial"/>
                <w:i/>
                <w:sz w:val="20"/>
              </w:rPr>
              <w:t xml:space="preserve"> Federal Reporter</w:t>
            </w:r>
            <w:r w:rsidRPr="007667C7">
              <w:rPr>
                <w:rFonts w:ascii="Arial" w:hAnsi="Arial"/>
                <w:sz w:val="20"/>
              </w:rPr>
              <w:t>.</w:t>
            </w:r>
          </w:p>
        </w:tc>
      </w:tr>
      <w:tr w:rsidR="00DC54EA" w:rsidRPr="009B4805" w14:paraId="3595DF82" w14:textId="77777777">
        <w:tc>
          <w:tcPr>
            <w:tcW w:w="10440" w:type="dxa"/>
            <w:tcBorders>
              <w:left w:val="single" w:sz="12" w:space="0" w:color="auto"/>
              <w:right w:val="single" w:sz="12" w:space="0" w:color="auto"/>
            </w:tcBorders>
          </w:tcPr>
          <w:p w14:paraId="552CDFE3" w14:textId="77777777" w:rsidR="00DC54EA" w:rsidRPr="009B4805" w:rsidRDefault="00DC54EA">
            <w:pPr>
              <w:ind w:left="360" w:right="200"/>
              <w:jc w:val="both"/>
              <w:rPr>
                <w:rFonts w:ascii="B New Century Schlbk Bold" w:hAnsi="B New Century Schlbk Bold"/>
                <w:sz w:val="20"/>
              </w:rPr>
            </w:pPr>
          </w:p>
        </w:tc>
      </w:tr>
      <w:tr w:rsidR="00DC54EA" w:rsidRPr="009A13E9" w14:paraId="58711BBD" w14:textId="77777777">
        <w:tc>
          <w:tcPr>
            <w:tcW w:w="10440" w:type="dxa"/>
            <w:tcBorders>
              <w:left w:val="single" w:sz="12" w:space="0" w:color="auto"/>
              <w:right w:val="single" w:sz="12" w:space="0" w:color="auto"/>
            </w:tcBorders>
          </w:tcPr>
          <w:p w14:paraId="51AC421C" w14:textId="77777777" w:rsidR="00DC54EA" w:rsidRPr="009A13E9" w:rsidRDefault="00DC54EA">
            <w:pPr>
              <w:ind w:left="360" w:right="200"/>
              <w:jc w:val="center"/>
              <w:rPr>
                <w:rFonts w:ascii="B New Century Schlbk Bold" w:hAnsi="B New Century Schlbk Bold"/>
                <w:sz w:val="20"/>
              </w:rPr>
            </w:pPr>
            <w:r w:rsidRPr="007667C7">
              <w:rPr>
                <w:rFonts w:ascii="Arial" w:hAnsi="Arial"/>
                <w:b/>
                <w:sz w:val="20"/>
              </w:rPr>
              <w:t>Betty Ann FERGUSON, Petitioner-Appellant,</w:t>
            </w:r>
          </w:p>
        </w:tc>
      </w:tr>
      <w:tr w:rsidR="00DC54EA" w:rsidRPr="009A13E9" w14:paraId="2F037086" w14:textId="77777777">
        <w:tc>
          <w:tcPr>
            <w:tcW w:w="10440" w:type="dxa"/>
            <w:tcBorders>
              <w:left w:val="single" w:sz="12" w:space="0" w:color="auto"/>
              <w:right w:val="single" w:sz="12" w:space="0" w:color="auto"/>
            </w:tcBorders>
          </w:tcPr>
          <w:p w14:paraId="06420D43" w14:textId="77777777" w:rsidR="00DC54EA" w:rsidRPr="009A13E9" w:rsidRDefault="00DC54EA">
            <w:pPr>
              <w:ind w:left="360" w:right="200"/>
              <w:jc w:val="center"/>
              <w:rPr>
                <w:rFonts w:ascii="B New Century Schlbk Bold" w:hAnsi="B New Century Schlbk Bold"/>
                <w:sz w:val="16"/>
              </w:rPr>
            </w:pPr>
            <w:r w:rsidRPr="007667C7">
              <w:rPr>
                <w:rFonts w:ascii="Arial" w:hAnsi="Arial"/>
                <w:b/>
                <w:sz w:val="16"/>
              </w:rPr>
              <w:t>v.</w:t>
            </w:r>
          </w:p>
        </w:tc>
      </w:tr>
      <w:tr w:rsidR="00DC54EA" w:rsidRPr="009A13E9" w14:paraId="5A196528" w14:textId="77777777">
        <w:tc>
          <w:tcPr>
            <w:tcW w:w="10440" w:type="dxa"/>
            <w:tcBorders>
              <w:left w:val="single" w:sz="12" w:space="0" w:color="auto"/>
              <w:right w:val="single" w:sz="12" w:space="0" w:color="auto"/>
            </w:tcBorders>
          </w:tcPr>
          <w:p w14:paraId="32008C76" w14:textId="77777777" w:rsidR="00DC54EA" w:rsidRPr="009A13E9" w:rsidRDefault="00DC54EA">
            <w:pPr>
              <w:ind w:left="360" w:right="200"/>
              <w:jc w:val="center"/>
              <w:rPr>
                <w:rFonts w:ascii="B New Century Schlbk Bold" w:hAnsi="B New Century Schlbk Bold"/>
                <w:sz w:val="20"/>
              </w:rPr>
            </w:pPr>
            <w:r w:rsidRPr="007667C7">
              <w:rPr>
                <w:rFonts w:ascii="Arial" w:hAnsi="Arial"/>
                <w:b/>
                <w:sz w:val="20"/>
              </w:rPr>
              <w:t>COMMISSIONER OF INTERNAL REVENUE, Respondent-Appellee.</w:t>
            </w:r>
          </w:p>
        </w:tc>
      </w:tr>
      <w:tr w:rsidR="00DC54EA" w:rsidRPr="009A13E9" w14:paraId="14CFBB56" w14:textId="77777777">
        <w:tc>
          <w:tcPr>
            <w:tcW w:w="10440" w:type="dxa"/>
            <w:tcBorders>
              <w:left w:val="single" w:sz="12" w:space="0" w:color="auto"/>
              <w:right w:val="single" w:sz="12" w:space="0" w:color="auto"/>
            </w:tcBorders>
          </w:tcPr>
          <w:p w14:paraId="1B4A84A7" w14:textId="77777777" w:rsidR="00DC54EA" w:rsidRPr="009A13E9" w:rsidRDefault="00DC54EA">
            <w:pPr>
              <w:ind w:left="360" w:right="200"/>
              <w:jc w:val="center"/>
              <w:rPr>
                <w:rFonts w:ascii="B New Century Schlbk Bold" w:hAnsi="B New Century Schlbk Bold"/>
                <w:sz w:val="16"/>
              </w:rPr>
            </w:pPr>
          </w:p>
        </w:tc>
      </w:tr>
      <w:tr w:rsidR="00DC54EA" w:rsidRPr="007667C7" w14:paraId="777965AE" w14:textId="77777777">
        <w:tc>
          <w:tcPr>
            <w:tcW w:w="10440" w:type="dxa"/>
            <w:tcBorders>
              <w:left w:val="single" w:sz="12" w:space="0" w:color="auto"/>
              <w:right w:val="single" w:sz="12" w:space="0" w:color="auto"/>
            </w:tcBorders>
          </w:tcPr>
          <w:p w14:paraId="00527C5B" w14:textId="77777777" w:rsidR="00DC54EA" w:rsidRPr="009A13E9" w:rsidRDefault="00DC54EA">
            <w:pPr>
              <w:ind w:left="360" w:right="200"/>
              <w:jc w:val="center"/>
              <w:rPr>
                <w:rFonts w:ascii="B New Century Schlbk Bold" w:hAnsi="B New Century Schlbk Bold"/>
                <w:sz w:val="20"/>
              </w:rPr>
            </w:pPr>
            <w:r w:rsidRPr="007667C7">
              <w:rPr>
                <w:rFonts w:ascii="Arial" w:hAnsi="Arial"/>
                <w:b/>
                <w:sz w:val="20"/>
              </w:rPr>
              <w:t>No. 90-4430</w:t>
            </w:r>
          </w:p>
        </w:tc>
      </w:tr>
      <w:tr w:rsidR="00DC54EA" w:rsidRPr="009B4805" w14:paraId="0AA67D3D" w14:textId="77777777">
        <w:tc>
          <w:tcPr>
            <w:tcW w:w="10440" w:type="dxa"/>
            <w:tcBorders>
              <w:left w:val="single" w:sz="12" w:space="0" w:color="auto"/>
              <w:right w:val="single" w:sz="12" w:space="0" w:color="auto"/>
            </w:tcBorders>
          </w:tcPr>
          <w:p w14:paraId="073EAE04" w14:textId="77777777" w:rsidR="00DC54EA" w:rsidRPr="009B4805" w:rsidRDefault="00DC54EA">
            <w:pPr>
              <w:ind w:left="360" w:right="200"/>
              <w:jc w:val="center"/>
              <w:rPr>
                <w:rFonts w:ascii="New Century Schlbk" w:hAnsi="New Century Schlbk"/>
                <w:sz w:val="20"/>
              </w:rPr>
            </w:pPr>
          </w:p>
        </w:tc>
      </w:tr>
      <w:tr w:rsidR="00DC54EA" w:rsidRPr="009A13E9" w14:paraId="39E5A00D" w14:textId="77777777">
        <w:tc>
          <w:tcPr>
            <w:tcW w:w="10440" w:type="dxa"/>
            <w:tcBorders>
              <w:left w:val="single" w:sz="12" w:space="0" w:color="auto"/>
              <w:right w:val="single" w:sz="12" w:space="0" w:color="auto"/>
            </w:tcBorders>
          </w:tcPr>
          <w:p w14:paraId="301F3FF6" w14:textId="77777777" w:rsidR="00DC54EA" w:rsidRPr="009A13E9" w:rsidRDefault="00DC54EA">
            <w:pPr>
              <w:ind w:left="360" w:right="200"/>
              <w:jc w:val="center"/>
              <w:rPr>
                <w:rFonts w:ascii="New Century Schlbk" w:hAnsi="New Century Schlbk"/>
                <w:sz w:val="20"/>
              </w:rPr>
            </w:pPr>
            <w:r w:rsidRPr="007667C7">
              <w:rPr>
                <w:rFonts w:ascii="Arial" w:hAnsi="Arial"/>
                <w:sz w:val="20"/>
              </w:rPr>
              <w:t>Summary Calendar.</w:t>
            </w:r>
          </w:p>
        </w:tc>
      </w:tr>
      <w:tr w:rsidR="00DC54EA" w:rsidRPr="009A13E9" w14:paraId="7DF304F5" w14:textId="77777777">
        <w:tc>
          <w:tcPr>
            <w:tcW w:w="10440" w:type="dxa"/>
            <w:tcBorders>
              <w:left w:val="single" w:sz="12" w:space="0" w:color="auto"/>
              <w:right w:val="single" w:sz="12" w:space="0" w:color="auto"/>
            </w:tcBorders>
          </w:tcPr>
          <w:p w14:paraId="3939EAD7" w14:textId="77777777" w:rsidR="00DC54EA" w:rsidRPr="009A13E9" w:rsidRDefault="00DC54EA">
            <w:pPr>
              <w:ind w:left="360" w:right="200"/>
              <w:jc w:val="center"/>
              <w:rPr>
                <w:rFonts w:ascii="New Century Schlbk" w:hAnsi="New Century Schlbk"/>
                <w:sz w:val="20"/>
              </w:rPr>
            </w:pPr>
            <w:r w:rsidRPr="007667C7">
              <w:rPr>
                <w:rFonts w:ascii="Arial" w:hAnsi="Arial"/>
                <w:sz w:val="20"/>
              </w:rPr>
              <w:t>United States Court of Appeals,</w:t>
            </w:r>
          </w:p>
        </w:tc>
      </w:tr>
      <w:tr w:rsidR="00DC54EA" w:rsidRPr="009A13E9" w14:paraId="23F425E7" w14:textId="77777777">
        <w:tc>
          <w:tcPr>
            <w:tcW w:w="10440" w:type="dxa"/>
            <w:tcBorders>
              <w:left w:val="single" w:sz="12" w:space="0" w:color="auto"/>
              <w:right w:val="single" w:sz="12" w:space="0" w:color="auto"/>
            </w:tcBorders>
          </w:tcPr>
          <w:p w14:paraId="6F121673" w14:textId="77777777" w:rsidR="00DC54EA" w:rsidRPr="009A13E9" w:rsidRDefault="00DC54EA">
            <w:pPr>
              <w:ind w:left="360" w:right="200"/>
              <w:jc w:val="center"/>
              <w:rPr>
                <w:rFonts w:ascii="New Century Schlbk" w:hAnsi="New Century Schlbk"/>
                <w:sz w:val="20"/>
              </w:rPr>
            </w:pPr>
            <w:r w:rsidRPr="007667C7">
              <w:rPr>
                <w:rFonts w:ascii="Arial" w:hAnsi="Arial"/>
                <w:sz w:val="20"/>
              </w:rPr>
              <w:t>Fifth Circuit.</w:t>
            </w:r>
          </w:p>
        </w:tc>
      </w:tr>
      <w:tr w:rsidR="00DC54EA" w:rsidRPr="009A13E9" w14:paraId="16F56720" w14:textId="77777777">
        <w:tc>
          <w:tcPr>
            <w:tcW w:w="10440" w:type="dxa"/>
            <w:tcBorders>
              <w:left w:val="single" w:sz="12" w:space="0" w:color="auto"/>
              <w:right w:val="single" w:sz="12" w:space="0" w:color="auto"/>
            </w:tcBorders>
          </w:tcPr>
          <w:p w14:paraId="685EC696" w14:textId="77777777" w:rsidR="00DC54EA" w:rsidRPr="009A13E9" w:rsidRDefault="00DC54EA">
            <w:pPr>
              <w:ind w:left="360" w:right="200"/>
              <w:jc w:val="center"/>
              <w:rPr>
                <w:rFonts w:ascii="New Century Schlbk" w:hAnsi="New Century Schlbk"/>
                <w:sz w:val="16"/>
              </w:rPr>
            </w:pPr>
          </w:p>
        </w:tc>
      </w:tr>
      <w:tr w:rsidR="00DC54EA" w:rsidRPr="009A13E9" w14:paraId="15D67AEE" w14:textId="77777777">
        <w:tc>
          <w:tcPr>
            <w:tcW w:w="10440" w:type="dxa"/>
            <w:tcBorders>
              <w:left w:val="single" w:sz="12" w:space="0" w:color="auto"/>
              <w:right w:val="single" w:sz="12" w:space="0" w:color="auto"/>
            </w:tcBorders>
          </w:tcPr>
          <w:p w14:paraId="5F81E90D" w14:textId="77777777" w:rsidR="00DC54EA" w:rsidRPr="009A13E9" w:rsidRDefault="00DC54EA">
            <w:pPr>
              <w:ind w:left="360" w:right="200"/>
              <w:jc w:val="center"/>
              <w:rPr>
                <w:rFonts w:ascii="New Century Schlbk" w:hAnsi="New Century Schlbk"/>
                <w:sz w:val="20"/>
              </w:rPr>
            </w:pPr>
            <w:r w:rsidRPr="007667C7">
              <w:rPr>
                <w:rFonts w:ascii="Arial" w:hAnsi="Arial"/>
                <w:sz w:val="20"/>
              </w:rPr>
              <w:t>Jan. 22, 1991.</w:t>
            </w:r>
          </w:p>
        </w:tc>
      </w:tr>
      <w:tr w:rsidR="00DC54EA" w:rsidRPr="009B4805" w14:paraId="2FDCBB45" w14:textId="77777777">
        <w:tc>
          <w:tcPr>
            <w:tcW w:w="10440" w:type="dxa"/>
            <w:tcBorders>
              <w:left w:val="single" w:sz="12" w:space="0" w:color="auto"/>
              <w:right w:val="single" w:sz="12" w:space="0" w:color="auto"/>
            </w:tcBorders>
          </w:tcPr>
          <w:p w14:paraId="6036C2D1" w14:textId="77777777" w:rsidR="00DC54EA" w:rsidRPr="009B4805" w:rsidRDefault="00DC54EA">
            <w:pPr>
              <w:ind w:left="360" w:right="200"/>
              <w:jc w:val="both"/>
              <w:rPr>
                <w:rFonts w:ascii="New Century Schlbk" w:hAnsi="New Century Schlbk"/>
                <w:sz w:val="20"/>
              </w:rPr>
            </w:pPr>
          </w:p>
        </w:tc>
      </w:tr>
      <w:tr w:rsidR="00DC54EA" w:rsidRPr="009A13E9" w14:paraId="72A11E62" w14:textId="77777777">
        <w:tc>
          <w:tcPr>
            <w:tcW w:w="10440" w:type="dxa"/>
            <w:tcBorders>
              <w:left w:val="single" w:sz="12" w:space="0" w:color="auto"/>
              <w:right w:val="single" w:sz="12" w:space="0" w:color="auto"/>
            </w:tcBorders>
          </w:tcPr>
          <w:p w14:paraId="42091CC2" w14:textId="77777777" w:rsidR="00DC54EA" w:rsidRPr="009A13E9" w:rsidRDefault="00DC54EA">
            <w:pPr>
              <w:ind w:left="360" w:right="200"/>
              <w:jc w:val="both"/>
              <w:rPr>
                <w:rFonts w:ascii="New Century Schlbk" w:hAnsi="New Century Schlbk"/>
                <w:sz w:val="20"/>
              </w:rPr>
            </w:pPr>
            <w:r w:rsidRPr="007667C7">
              <w:rPr>
                <w:rFonts w:ascii="Arial" w:hAnsi="Arial"/>
                <w:sz w:val="20"/>
              </w:rPr>
              <w:tab/>
              <w:t>Taxpayer filed petition.  The United States Tax Court, Korner, J., dismissed for lack of prosecu</w:t>
            </w:r>
            <w:r w:rsidRPr="007667C7">
              <w:rPr>
                <w:rFonts w:ascii="Arial" w:hAnsi="Arial"/>
                <w:sz w:val="20"/>
              </w:rPr>
              <w:softHyphen/>
              <w:t>tion, and appeal was taken.  The Court of Appeals held that court abused its discretion in refusing testi</w:t>
            </w:r>
            <w:r w:rsidRPr="007667C7">
              <w:rPr>
                <w:rFonts w:ascii="Arial" w:hAnsi="Arial"/>
                <w:sz w:val="20"/>
              </w:rPr>
              <w:softHyphen/>
              <w:t>mony of taxpayer, who refused, on religious grounds, to swear or affirm.</w:t>
            </w:r>
          </w:p>
        </w:tc>
      </w:tr>
      <w:tr w:rsidR="00DC54EA" w:rsidRPr="009A13E9" w14:paraId="62FAF2B0" w14:textId="77777777">
        <w:tc>
          <w:tcPr>
            <w:tcW w:w="10440" w:type="dxa"/>
            <w:tcBorders>
              <w:left w:val="single" w:sz="12" w:space="0" w:color="auto"/>
              <w:right w:val="single" w:sz="12" w:space="0" w:color="auto"/>
            </w:tcBorders>
          </w:tcPr>
          <w:p w14:paraId="2A1782A0" w14:textId="77777777" w:rsidR="00DC54EA" w:rsidRPr="009A13E9" w:rsidRDefault="00DC54EA">
            <w:pPr>
              <w:ind w:left="360" w:right="200"/>
              <w:jc w:val="both"/>
              <w:rPr>
                <w:rFonts w:ascii="New Century Schlbk" w:hAnsi="New Century Schlbk"/>
                <w:sz w:val="16"/>
              </w:rPr>
            </w:pPr>
          </w:p>
        </w:tc>
      </w:tr>
      <w:tr w:rsidR="00DC54EA" w:rsidRPr="009A13E9" w14:paraId="586C4E9B" w14:textId="77777777">
        <w:tc>
          <w:tcPr>
            <w:tcW w:w="10440" w:type="dxa"/>
            <w:tcBorders>
              <w:left w:val="single" w:sz="12" w:space="0" w:color="auto"/>
              <w:right w:val="single" w:sz="12" w:space="0" w:color="auto"/>
            </w:tcBorders>
          </w:tcPr>
          <w:p w14:paraId="503D3D7A" w14:textId="77777777" w:rsidR="00DC54EA" w:rsidRPr="009A13E9" w:rsidRDefault="00DC54EA">
            <w:pPr>
              <w:ind w:left="360" w:right="200"/>
              <w:jc w:val="both"/>
              <w:rPr>
                <w:rFonts w:ascii="New Century Schlbk" w:hAnsi="New Century Schlbk"/>
                <w:sz w:val="20"/>
              </w:rPr>
            </w:pPr>
            <w:r w:rsidRPr="007667C7">
              <w:rPr>
                <w:rFonts w:ascii="Arial" w:hAnsi="Arial"/>
                <w:sz w:val="20"/>
              </w:rPr>
              <w:tab/>
              <w:t>Reversed and remanded.</w:t>
            </w:r>
          </w:p>
        </w:tc>
      </w:tr>
      <w:tr w:rsidR="00DC54EA" w:rsidRPr="009B4805" w14:paraId="6796DC09" w14:textId="77777777">
        <w:tc>
          <w:tcPr>
            <w:tcW w:w="10440" w:type="dxa"/>
            <w:tcBorders>
              <w:left w:val="single" w:sz="12" w:space="0" w:color="auto"/>
              <w:right w:val="single" w:sz="12" w:space="0" w:color="auto"/>
            </w:tcBorders>
          </w:tcPr>
          <w:p w14:paraId="4E106F9E" w14:textId="77777777" w:rsidR="00DC54EA" w:rsidRPr="009B4805" w:rsidRDefault="00DC54EA">
            <w:pPr>
              <w:ind w:left="360" w:right="200"/>
              <w:jc w:val="both"/>
              <w:rPr>
                <w:rFonts w:ascii="New Century Schlbk" w:hAnsi="New Century Schlbk"/>
                <w:sz w:val="20"/>
              </w:rPr>
            </w:pPr>
          </w:p>
        </w:tc>
      </w:tr>
      <w:tr w:rsidR="00DC54EA" w:rsidRPr="007667C7" w14:paraId="6581DD24" w14:textId="77777777">
        <w:tc>
          <w:tcPr>
            <w:tcW w:w="10440" w:type="dxa"/>
            <w:tcBorders>
              <w:left w:val="single" w:sz="12" w:space="0" w:color="auto"/>
              <w:right w:val="single" w:sz="12" w:space="0" w:color="auto"/>
            </w:tcBorders>
          </w:tcPr>
          <w:p w14:paraId="218424BB" w14:textId="77777777" w:rsidR="00DC54EA" w:rsidRPr="009A13E9" w:rsidRDefault="00DC54EA">
            <w:pPr>
              <w:ind w:left="360" w:right="200"/>
              <w:jc w:val="both"/>
              <w:rPr>
                <w:rFonts w:ascii="B New Century Schlbk Bold" w:hAnsi="B New Century Schlbk Bold"/>
                <w:sz w:val="20"/>
              </w:rPr>
            </w:pPr>
            <w:r w:rsidRPr="007667C7">
              <w:rPr>
                <w:rFonts w:ascii="Arial" w:hAnsi="Arial"/>
                <w:b/>
                <w:sz w:val="20"/>
              </w:rPr>
              <w:t xml:space="preserve">1.  Constitutional </w:t>
            </w:r>
            <w:proofErr w:type="gramStart"/>
            <w:r w:rsidRPr="007667C7">
              <w:rPr>
                <w:rFonts w:ascii="Arial" w:hAnsi="Arial"/>
                <w:b/>
                <w:sz w:val="20"/>
              </w:rPr>
              <w:t>Law  92K84</w:t>
            </w:r>
            <w:proofErr w:type="gramEnd"/>
            <w:r w:rsidRPr="007667C7">
              <w:rPr>
                <w:rFonts w:ascii="Arial" w:hAnsi="Arial"/>
                <w:b/>
                <w:sz w:val="20"/>
              </w:rPr>
              <w:t>(2)</w:t>
            </w:r>
          </w:p>
        </w:tc>
      </w:tr>
      <w:tr w:rsidR="00DC54EA" w:rsidRPr="009A13E9" w14:paraId="217F365B" w14:textId="77777777">
        <w:tc>
          <w:tcPr>
            <w:tcW w:w="10440" w:type="dxa"/>
            <w:tcBorders>
              <w:left w:val="single" w:sz="12" w:space="0" w:color="auto"/>
              <w:right w:val="single" w:sz="12" w:space="0" w:color="auto"/>
            </w:tcBorders>
          </w:tcPr>
          <w:p w14:paraId="420DABA8" w14:textId="77777777" w:rsidR="00DC54EA" w:rsidRPr="009A13E9" w:rsidRDefault="00DC54EA">
            <w:pPr>
              <w:ind w:left="360" w:right="200"/>
              <w:jc w:val="both"/>
              <w:rPr>
                <w:rFonts w:ascii="New Century Schlbk" w:hAnsi="New Century Schlbk"/>
                <w:sz w:val="16"/>
              </w:rPr>
            </w:pPr>
          </w:p>
        </w:tc>
      </w:tr>
      <w:tr w:rsidR="00DC54EA" w:rsidRPr="009A13E9" w14:paraId="6282EBE8" w14:textId="77777777">
        <w:tc>
          <w:tcPr>
            <w:tcW w:w="10440" w:type="dxa"/>
            <w:tcBorders>
              <w:left w:val="single" w:sz="12" w:space="0" w:color="auto"/>
              <w:right w:val="single" w:sz="12" w:space="0" w:color="auto"/>
            </w:tcBorders>
          </w:tcPr>
          <w:p w14:paraId="2855113C" w14:textId="77777777" w:rsidR="00DC54EA" w:rsidRPr="009A13E9" w:rsidRDefault="00DC54EA">
            <w:pPr>
              <w:ind w:left="360" w:right="200"/>
              <w:jc w:val="both"/>
              <w:rPr>
                <w:rFonts w:ascii="New Century Schlbk" w:hAnsi="New Century Schlbk"/>
                <w:sz w:val="20"/>
              </w:rPr>
            </w:pPr>
            <w:r w:rsidRPr="007667C7">
              <w:rPr>
                <w:rFonts w:ascii="Arial" w:hAnsi="Arial"/>
                <w:sz w:val="20"/>
              </w:rPr>
              <w:tab/>
              <w:t>Protection of free exercise clause extends to all sincere religious beliefs; courts may not evaluate re</w:t>
            </w:r>
            <w:r w:rsidRPr="007667C7">
              <w:rPr>
                <w:rFonts w:ascii="Arial" w:hAnsi="Arial"/>
                <w:sz w:val="20"/>
              </w:rPr>
              <w:softHyphen/>
              <w:t>li</w:t>
            </w:r>
            <w:r w:rsidRPr="007667C7">
              <w:rPr>
                <w:rFonts w:ascii="Arial" w:hAnsi="Arial"/>
                <w:sz w:val="20"/>
              </w:rPr>
              <w:softHyphen/>
              <w:t xml:space="preserve">gious truth.  U.S.C.A. Const. Amend. 1. </w:t>
            </w:r>
            <w:r w:rsidRPr="007667C7">
              <w:rPr>
                <w:rFonts w:ascii="Arial" w:hAnsi="Arial"/>
                <w:i/>
                <w:sz w:val="20"/>
              </w:rPr>
              <w:t>Ferguson v. C.I.R.</w:t>
            </w:r>
            <w:r w:rsidRPr="007667C7">
              <w:rPr>
                <w:rFonts w:ascii="Arial" w:hAnsi="Arial"/>
                <w:sz w:val="20"/>
              </w:rPr>
              <w:t xml:space="preserve"> 921 F.2d 588, 67 A.F.T.R.2d 91-459, 91-1 </w:t>
            </w:r>
            <w:proofErr w:type="gramStart"/>
            <w:r w:rsidRPr="007667C7">
              <w:rPr>
                <w:rFonts w:ascii="Arial" w:hAnsi="Arial"/>
                <w:sz w:val="20"/>
              </w:rPr>
              <w:t>USTC  P</w:t>
            </w:r>
            <w:proofErr w:type="gramEnd"/>
            <w:r w:rsidRPr="007667C7">
              <w:rPr>
                <w:rFonts w:ascii="Arial" w:hAnsi="Arial"/>
                <w:sz w:val="20"/>
              </w:rPr>
              <w:t xml:space="preserve"> 50,052</w:t>
            </w:r>
          </w:p>
        </w:tc>
      </w:tr>
      <w:tr w:rsidR="00DC54EA" w:rsidRPr="009B4805" w14:paraId="66F807EF" w14:textId="77777777">
        <w:tc>
          <w:tcPr>
            <w:tcW w:w="10440" w:type="dxa"/>
            <w:tcBorders>
              <w:left w:val="single" w:sz="12" w:space="0" w:color="auto"/>
              <w:right w:val="single" w:sz="12" w:space="0" w:color="auto"/>
            </w:tcBorders>
          </w:tcPr>
          <w:p w14:paraId="53A11D90" w14:textId="77777777" w:rsidR="00DC54EA" w:rsidRPr="009B4805" w:rsidRDefault="00DC54EA">
            <w:pPr>
              <w:ind w:left="360" w:right="200"/>
              <w:jc w:val="both"/>
              <w:rPr>
                <w:rFonts w:ascii="New Century Schlbk" w:hAnsi="New Century Schlbk"/>
                <w:sz w:val="20"/>
              </w:rPr>
            </w:pPr>
          </w:p>
        </w:tc>
      </w:tr>
      <w:tr w:rsidR="00DC54EA" w:rsidRPr="007667C7" w14:paraId="66B30D00" w14:textId="77777777">
        <w:tc>
          <w:tcPr>
            <w:tcW w:w="10440" w:type="dxa"/>
            <w:tcBorders>
              <w:left w:val="single" w:sz="12" w:space="0" w:color="auto"/>
              <w:right w:val="single" w:sz="12" w:space="0" w:color="auto"/>
            </w:tcBorders>
          </w:tcPr>
          <w:p w14:paraId="545547DF" w14:textId="77777777" w:rsidR="00DC54EA" w:rsidRPr="009A13E9" w:rsidRDefault="00DC54EA">
            <w:pPr>
              <w:ind w:left="360" w:right="200"/>
              <w:jc w:val="both"/>
              <w:rPr>
                <w:rFonts w:ascii="B New Century Schlbk Bold" w:hAnsi="B New Century Schlbk Bold"/>
                <w:sz w:val="20"/>
              </w:rPr>
            </w:pPr>
            <w:r w:rsidRPr="007667C7">
              <w:rPr>
                <w:rFonts w:ascii="Arial" w:hAnsi="Arial"/>
                <w:b/>
                <w:sz w:val="20"/>
              </w:rPr>
              <w:t>2.  Witnesses 410K227</w:t>
            </w:r>
          </w:p>
        </w:tc>
      </w:tr>
      <w:tr w:rsidR="00DC54EA" w:rsidRPr="009A13E9" w14:paraId="62523931" w14:textId="77777777">
        <w:tc>
          <w:tcPr>
            <w:tcW w:w="10440" w:type="dxa"/>
            <w:tcBorders>
              <w:left w:val="single" w:sz="12" w:space="0" w:color="auto"/>
              <w:right w:val="single" w:sz="12" w:space="0" w:color="auto"/>
            </w:tcBorders>
          </w:tcPr>
          <w:p w14:paraId="7E06B4C7" w14:textId="77777777" w:rsidR="00DC54EA" w:rsidRPr="009A13E9" w:rsidRDefault="00DC54EA">
            <w:pPr>
              <w:ind w:left="360" w:right="200"/>
              <w:jc w:val="both"/>
              <w:rPr>
                <w:rFonts w:ascii="New Century Schlbk" w:hAnsi="New Century Schlbk"/>
                <w:sz w:val="16"/>
              </w:rPr>
            </w:pPr>
          </w:p>
        </w:tc>
      </w:tr>
      <w:tr w:rsidR="00DC54EA" w:rsidRPr="009A13E9" w14:paraId="6047DD86" w14:textId="77777777">
        <w:tc>
          <w:tcPr>
            <w:tcW w:w="10440" w:type="dxa"/>
            <w:tcBorders>
              <w:left w:val="single" w:sz="12" w:space="0" w:color="auto"/>
              <w:right w:val="single" w:sz="12" w:space="0" w:color="auto"/>
            </w:tcBorders>
          </w:tcPr>
          <w:p w14:paraId="0768F33B"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 Court abused its discretion in refusing testimony of witness who refused, on religious grounds, to swear or affirm, and who instead offered to testify accurately and completely and to be subject to penal</w:t>
            </w:r>
            <w:r w:rsidRPr="007667C7">
              <w:rPr>
                <w:rFonts w:ascii="Arial" w:hAnsi="Arial"/>
                <w:sz w:val="20"/>
              </w:rPr>
              <w:softHyphen/>
              <w:t>ties for perjury.  U.S.C.A. Const. Amend. 1</w:t>
            </w:r>
            <w:proofErr w:type="gramStart"/>
            <w:r w:rsidRPr="007667C7">
              <w:rPr>
                <w:rFonts w:ascii="Arial" w:hAnsi="Arial"/>
                <w:sz w:val="20"/>
              </w:rPr>
              <w:t>;  Fed.Rules</w:t>
            </w:r>
            <w:proofErr w:type="gramEnd"/>
            <w:r w:rsidRPr="007667C7">
              <w:rPr>
                <w:rFonts w:ascii="Arial" w:hAnsi="Arial"/>
                <w:sz w:val="20"/>
              </w:rPr>
              <w:t xml:space="preserve"> Evid.Rule 603, 28 U.S.C.A. </w:t>
            </w:r>
            <w:r w:rsidRPr="007667C7">
              <w:rPr>
                <w:rFonts w:ascii="Arial" w:hAnsi="Arial"/>
                <w:i/>
                <w:sz w:val="20"/>
              </w:rPr>
              <w:t>Ferguson v. C.I.R.</w:t>
            </w:r>
            <w:r w:rsidRPr="007667C7">
              <w:rPr>
                <w:rFonts w:ascii="Arial" w:hAnsi="Arial"/>
                <w:sz w:val="20"/>
              </w:rPr>
              <w:t xml:space="preserve"> 921 F.2d 588, 67 A.F.T.R.2d 91-459, 91-1 USTC  P 50,052</w:t>
            </w:r>
          </w:p>
        </w:tc>
      </w:tr>
      <w:tr w:rsidR="00DC54EA" w:rsidRPr="009A13E9" w14:paraId="62AA7EDE" w14:textId="77777777">
        <w:tc>
          <w:tcPr>
            <w:tcW w:w="10440" w:type="dxa"/>
            <w:tcBorders>
              <w:left w:val="single" w:sz="12" w:space="0" w:color="auto"/>
              <w:right w:val="single" w:sz="12" w:space="0" w:color="auto"/>
            </w:tcBorders>
          </w:tcPr>
          <w:p w14:paraId="400A3545" w14:textId="77777777" w:rsidR="00DC54EA" w:rsidRPr="009A13E9" w:rsidRDefault="00DC54EA">
            <w:pPr>
              <w:ind w:left="360" w:right="200"/>
              <w:jc w:val="both"/>
              <w:rPr>
                <w:rFonts w:ascii="New Century Schlbk" w:hAnsi="New Century Schlbk"/>
                <w:sz w:val="20"/>
              </w:rPr>
            </w:pPr>
          </w:p>
        </w:tc>
      </w:tr>
      <w:tr w:rsidR="00DC54EA" w:rsidRPr="009A13E9" w14:paraId="2D6DD31E" w14:textId="77777777">
        <w:tc>
          <w:tcPr>
            <w:tcW w:w="10440" w:type="dxa"/>
            <w:tcBorders>
              <w:left w:val="single" w:sz="12" w:space="0" w:color="auto"/>
              <w:right w:val="single" w:sz="12" w:space="0" w:color="auto"/>
            </w:tcBorders>
          </w:tcPr>
          <w:p w14:paraId="41D1EC94" w14:textId="77777777" w:rsidR="00DC54EA" w:rsidRPr="009A13E9" w:rsidRDefault="00DC54EA">
            <w:pPr>
              <w:ind w:left="360" w:right="200"/>
              <w:jc w:val="both"/>
              <w:rPr>
                <w:rFonts w:ascii="New Century Schlbk" w:hAnsi="New Century Schlbk"/>
                <w:sz w:val="20"/>
              </w:rPr>
            </w:pPr>
            <w:r w:rsidRPr="007667C7">
              <w:rPr>
                <w:rFonts w:ascii="Arial" w:hAnsi="Arial"/>
                <w:sz w:val="20"/>
              </w:rPr>
              <w:tab/>
              <w:t>Betty Ann Ferguson, Metairie, La., pro se.</w:t>
            </w:r>
          </w:p>
        </w:tc>
      </w:tr>
      <w:tr w:rsidR="00DC54EA" w:rsidRPr="009A13E9" w14:paraId="2D012FF1" w14:textId="77777777">
        <w:tc>
          <w:tcPr>
            <w:tcW w:w="10440" w:type="dxa"/>
            <w:tcBorders>
              <w:left w:val="single" w:sz="12" w:space="0" w:color="auto"/>
              <w:right w:val="single" w:sz="12" w:space="0" w:color="auto"/>
            </w:tcBorders>
          </w:tcPr>
          <w:p w14:paraId="6948E835" w14:textId="77777777" w:rsidR="00DC54EA" w:rsidRPr="009A13E9" w:rsidRDefault="00DC54EA">
            <w:pPr>
              <w:ind w:left="360" w:right="200"/>
              <w:jc w:val="both"/>
              <w:rPr>
                <w:rFonts w:ascii="New Century Schlbk" w:hAnsi="New Century Schlbk"/>
                <w:sz w:val="20"/>
              </w:rPr>
            </w:pPr>
          </w:p>
        </w:tc>
      </w:tr>
      <w:tr w:rsidR="00DC54EA" w:rsidRPr="009A13E9" w14:paraId="059282A0" w14:textId="77777777">
        <w:tc>
          <w:tcPr>
            <w:tcW w:w="10440" w:type="dxa"/>
            <w:tcBorders>
              <w:left w:val="single" w:sz="12" w:space="0" w:color="auto"/>
              <w:right w:val="single" w:sz="12" w:space="0" w:color="auto"/>
            </w:tcBorders>
          </w:tcPr>
          <w:p w14:paraId="2198FF9A" w14:textId="77777777" w:rsidR="00DC54EA" w:rsidRPr="009A13E9" w:rsidRDefault="00DC54EA">
            <w:pPr>
              <w:pStyle w:val="Boxtext"/>
              <w:spacing w:line="240" w:lineRule="auto"/>
            </w:pPr>
            <w:r w:rsidRPr="007667C7">
              <w:rPr>
                <w:rFonts w:ascii="Arial" w:hAnsi="Arial"/>
              </w:rPr>
              <w:tab/>
              <w:t>Peter K. Scott, Acting Chief Counsel, I.R.S., Gary R. Allen, David I. Pincus, William S. Rose, Jr., Asst. Attys. Gen., Dept. of Justice, Tax Div., Washington, D.C., for respondent-appellee.</w:t>
            </w:r>
          </w:p>
        </w:tc>
      </w:tr>
      <w:tr w:rsidR="00DC54EA" w:rsidRPr="009A13E9" w14:paraId="73C7725A" w14:textId="77777777">
        <w:tc>
          <w:tcPr>
            <w:tcW w:w="10440" w:type="dxa"/>
            <w:tcBorders>
              <w:left w:val="single" w:sz="12" w:space="0" w:color="auto"/>
              <w:right w:val="single" w:sz="12" w:space="0" w:color="auto"/>
            </w:tcBorders>
          </w:tcPr>
          <w:p w14:paraId="60A9F922" w14:textId="77777777" w:rsidR="00DC54EA" w:rsidRPr="009A13E9" w:rsidRDefault="00DC54EA">
            <w:pPr>
              <w:ind w:left="360" w:right="200"/>
              <w:jc w:val="both"/>
              <w:rPr>
                <w:rFonts w:ascii="New Century Schlbk" w:hAnsi="New Century Schlbk"/>
                <w:sz w:val="20"/>
              </w:rPr>
            </w:pPr>
          </w:p>
        </w:tc>
      </w:tr>
      <w:tr w:rsidR="00DC54EA" w:rsidRPr="009A13E9" w14:paraId="268115A4" w14:textId="77777777">
        <w:tc>
          <w:tcPr>
            <w:tcW w:w="10440" w:type="dxa"/>
            <w:tcBorders>
              <w:left w:val="single" w:sz="12" w:space="0" w:color="auto"/>
              <w:right w:val="single" w:sz="12" w:space="0" w:color="auto"/>
            </w:tcBorders>
          </w:tcPr>
          <w:p w14:paraId="457AE134" w14:textId="77777777" w:rsidR="00DC54EA" w:rsidRPr="007667C7" w:rsidRDefault="00DC54EA">
            <w:pPr>
              <w:ind w:left="360" w:right="200"/>
              <w:jc w:val="both"/>
              <w:rPr>
                <w:rFonts w:ascii="Arial" w:hAnsi="Arial"/>
                <w:sz w:val="20"/>
              </w:rPr>
            </w:pPr>
            <w:r w:rsidRPr="007667C7">
              <w:rPr>
                <w:rFonts w:ascii="Arial" w:hAnsi="Arial"/>
                <w:sz w:val="20"/>
              </w:rPr>
              <w:tab/>
              <w:t>Appeal from a Decision of the United States Tax Court.</w:t>
            </w:r>
          </w:p>
          <w:p w14:paraId="161E6122" w14:textId="77777777" w:rsidR="00DC54EA" w:rsidRPr="009A13E9" w:rsidRDefault="00DC54EA">
            <w:pPr>
              <w:ind w:left="360" w:right="200"/>
              <w:jc w:val="both"/>
              <w:rPr>
                <w:rFonts w:ascii="New Century Schlbk" w:hAnsi="New Century Schlbk"/>
                <w:sz w:val="20"/>
              </w:rPr>
            </w:pPr>
          </w:p>
        </w:tc>
      </w:tr>
      <w:tr w:rsidR="00DC54EA" w:rsidRPr="009A13E9" w14:paraId="37DDBAA2" w14:textId="77777777">
        <w:tc>
          <w:tcPr>
            <w:tcW w:w="10440" w:type="dxa"/>
            <w:tcBorders>
              <w:left w:val="single" w:sz="12" w:space="0" w:color="auto"/>
              <w:right w:val="single" w:sz="12" w:space="0" w:color="auto"/>
            </w:tcBorders>
          </w:tcPr>
          <w:p w14:paraId="41280893" w14:textId="77777777" w:rsidR="00DC54EA" w:rsidRPr="009A13E9" w:rsidRDefault="00DC54EA">
            <w:pPr>
              <w:ind w:left="360" w:right="200"/>
              <w:jc w:val="both"/>
              <w:rPr>
                <w:rFonts w:ascii="New Century Schlbk" w:hAnsi="New Century Schlbk"/>
                <w:sz w:val="20"/>
              </w:rPr>
            </w:pPr>
            <w:r w:rsidRPr="007667C7">
              <w:rPr>
                <w:rFonts w:ascii="Arial" w:hAnsi="Arial"/>
                <w:sz w:val="20"/>
              </w:rPr>
              <w:tab/>
              <w:t>Before JOLLY, HIGGINBOTHAM, and JONES, Circuit Judges.</w:t>
            </w:r>
          </w:p>
        </w:tc>
      </w:tr>
      <w:tr w:rsidR="00DC54EA" w:rsidRPr="007667C7" w14:paraId="4C29ABE0" w14:textId="77777777">
        <w:tc>
          <w:tcPr>
            <w:tcW w:w="10440" w:type="dxa"/>
            <w:tcBorders>
              <w:left w:val="single" w:sz="12" w:space="0" w:color="auto"/>
              <w:right w:val="single" w:sz="12" w:space="0" w:color="auto"/>
            </w:tcBorders>
          </w:tcPr>
          <w:p w14:paraId="504D9A6A" w14:textId="77777777" w:rsidR="00DC54EA" w:rsidRPr="009A13E9" w:rsidRDefault="00DC54EA">
            <w:pPr>
              <w:ind w:left="360" w:right="200"/>
              <w:jc w:val="both"/>
              <w:rPr>
                <w:rFonts w:ascii="New Century Schlbk" w:hAnsi="New Century Schlbk"/>
                <w:sz w:val="20"/>
              </w:rPr>
            </w:pPr>
          </w:p>
        </w:tc>
      </w:tr>
      <w:tr w:rsidR="00DC54EA" w:rsidRPr="009A13E9" w14:paraId="02997F5D" w14:textId="77777777">
        <w:tc>
          <w:tcPr>
            <w:tcW w:w="10440" w:type="dxa"/>
            <w:tcBorders>
              <w:left w:val="single" w:sz="12" w:space="0" w:color="auto"/>
              <w:right w:val="single" w:sz="12" w:space="0" w:color="auto"/>
            </w:tcBorders>
          </w:tcPr>
          <w:p w14:paraId="75B38245" w14:textId="77777777" w:rsidR="00DC54EA" w:rsidRPr="009A13E9" w:rsidRDefault="00DC54EA">
            <w:pPr>
              <w:ind w:left="360" w:right="200"/>
              <w:jc w:val="both"/>
              <w:rPr>
                <w:rFonts w:ascii="New Century Schlbk" w:hAnsi="New Century Schlbk"/>
                <w:sz w:val="20"/>
              </w:rPr>
            </w:pPr>
            <w:r w:rsidRPr="007667C7">
              <w:rPr>
                <w:rFonts w:ascii="Arial" w:hAnsi="Arial"/>
                <w:b/>
                <w:i/>
                <w:sz w:val="20"/>
              </w:rPr>
              <w:t>PER CURIAM:</w:t>
            </w:r>
          </w:p>
        </w:tc>
      </w:tr>
      <w:tr w:rsidR="00DC54EA" w:rsidRPr="009A13E9" w14:paraId="404B307D" w14:textId="77777777">
        <w:tc>
          <w:tcPr>
            <w:tcW w:w="10440" w:type="dxa"/>
            <w:tcBorders>
              <w:left w:val="single" w:sz="12" w:space="0" w:color="auto"/>
              <w:right w:val="single" w:sz="12" w:space="0" w:color="auto"/>
            </w:tcBorders>
          </w:tcPr>
          <w:p w14:paraId="55B7D4A5" w14:textId="77777777" w:rsidR="00DC54EA" w:rsidRPr="007667C7" w:rsidRDefault="00DC54EA">
            <w:pPr>
              <w:ind w:left="360" w:right="200"/>
              <w:jc w:val="both"/>
              <w:rPr>
                <w:rFonts w:ascii="Arial" w:hAnsi="Arial"/>
                <w:sz w:val="16"/>
              </w:rPr>
            </w:pPr>
          </w:p>
          <w:p w14:paraId="0865B130" w14:textId="77777777" w:rsidR="00DC54EA" w:rsidRPr="009A13E9" w:rsidRDefault="00DC54EA">
            <w:pPr>
              <w:pStyle w:val="Boxtext"/>
              <w:spacing w:line="240" w:lineRule="auto"/>
            </w:pPr>
            <w:r w:rsidRPr="007667C7">
              <w:rPr>
                <w:rFonts w:ascii="Arial" w:hAnsi="Arial"/>
              </w:rPr>
              <w:tab/>
              <w:t>Betty Ann Ferguson appeals the Tax Court’s dismissal of her petition for lack of prosecution after she refused to swear or affirm at a hearing.  We find the Tax Court’s failure to accommodate her ob</w:t>
            </w:r>
            <w:r w:rsidRPr="007667C7">
              <w:rPr>
                <w:rFonts w:ascii="Arial" w:hAnsi="Arial"/>
              </w:rPr>
              <w:softHyphen/>
              <w:t>jections inconsistent with both Fed.R.Evid. 603 and the First Amendment and reverse.</w:t>
            </w:r>
          </w:p>
        </w:tc>
      </w:tr>
      <w:tr w:rsidR="00DC54EA" w:rsidRPr="009A13E9" w14:paraId="7514A3AD" w14:textId="77777777">
        <w:tc>
          <w:tcPr>
            <w:tcW w:w="10440" w:type="dxa"/>
            <w:tcBorders>
              <w:left w:val="single" w:sz="12" w:space="0" w:color="auto"/>
              <w:right w:val="single" w:sz="12" w:space="0" w:color="auto"/>
            </w:tcBorders>
          </w:tcPr>
          <w:p w14:paraId="1F901224" w14:textId="77777777" w:rsidR="00DC54EA" w:rsidRPr="009A13E9" w:rsidRDefault="00DC54EA">
            <w:pPr>
              <w:ind w:left="360" w:right="200"/>
              <w:rPr>
                <w:rFonts w:ascii="New Century Schlbk" w:hAnsi="New Century Schlbk"/>
                <w:sz w:val="20"/>
              </w:rPr>
            </w:pPr>
            <w:r w:rsidRPr="007667C7">
              <w:rPr>
                <w:rFonts w:ascii="Arial" w:hAnsi="Arial"/>
                <w:sz w:val="20"/>
              </w:rPr>
              <w:t>I.</w:t>
            </w:r>
          </w:p>
        </w:tc>
      </w:tr>
      <w:tr w:rsidR="00DC54EA" w:rsidRPr="009A13E9" w14:paraId="031D38CE" w14:textId="77777777">
        <w:tc>
          <w:tcPr>
            <w:tcW w:w="10440" w:type="dxa"/>
            <w:tcBorders>
              <w:left w:val="single" w:sz="12" w:space="0" w:color="auto"/>
              <w:right w:val="single" w:sz="12" w:space="0" w:color="auto"/>
            </w:tcBorders>
          </w:tcPr>
          <w:p w14:paraId="33D81152"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ab/>
              <w:t>This First Amendment case ironically arose out of a hearing in Tax Court. Although the govern</w:t>
            </w:r>
            <w:r w:rsidRPr="007667C7">
              <w:rPr>
                <w:rFonts w:ascii="Arial" w:hAnsi="Arial"/>
                <w:sz w:val="20"/>
              </w:rPr>
              <w:softHyphen/>
              <w:t>ment’s brief is replete with references to income, exemptions, and taxable years, the only real issue is Betty Ann Ferguson’s refusal to “swear” or “affirm” before testifying at the hearing.  Her objection to oaths and affirmations is rooted in two Biblical passages, Matthew 5:33-37 and James 5:12.  * * *</w:t>
            </w:r>
          </w:p>
        </w:tc>
      </w:tr>
      <w:tr w:rsidR="00DC54EA" w:rsidRPr="009A13E9" w14:paraId="3E072F0E" w14:textId="77777777">
        <w:tc>
          <w:tcPr>
            <w:tcW w:w="10440" w:type="dxa"/>
            <w:tcBorders>
              <w:left w:val="single" w:sz="12" w:space="0" w:color="auto"/>
              <w:right w:val="single" w:sz="12" w:space="0" w:color="auto"/>
            </w:tcBorders>
          </w:tcPr>
          <w:p w14:paraId="1318EB4A" w14:textId="77777777" w:rsidR="00DC54EA" w:rsidRPr="009A13E9" w:rsidRDefault="00DC54EA">
            <w:pPr>
              <w:ind w:left="360" w:right="200"/>
              <w:jc w:val="both"/>
              <w:rPr>
                <w:rFonts w:ascii="New Century Schlbk" w:hAnsi="New Century Schlbk"/>
                <w:sz w:val="16"/>
              </w:rPr>
            </w:pPr>
          </w:p>
        </w:tc>
      </w:tr>
      <w:tr w:rsidR="00DC54EA" w:rsidRPr="009A13E9" w14:paraId="3AFADA19" w14:textId="77777777">
        <w:tc>
          <w:tcPr>
            <w:tcW w:w="10440" w:type="dxa"/>
            <w:tcBorders>
              <w:left w:val="single" w:sz="12" w:space="0" w:color="auto"/>
              <w:right w:val="single" w:sz="12" w:space="0" w:color="auto"/>
            </w:tcBorders>
          </w:tcPr>
          <w:p w14:paraId="34A50D45"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Ms. Ferguson, proceeding pro se, requested that Judge Korner consider the following statement set forth by the Supreme Court of Louisiana in </w:t>
            </w:r>
            <w:r w:rsidRPr="007667C7">
              <w:rPr>
                <w:rFonts w:ascii="Arial" w:hAnsi="Arial"/>
                <w:i/>
                <w:sz w:val="20"/>
              </w:rPr>
              <w:t>Staton v. Fought</w:t>
            </w:r>
            <w:r w:rsidRPr="007667C7">
              <w:rPr>
                <w:rFonts w:ascii="Arial" w:hAnsi="Arial"/>
                <w:sz w:val="20"/>
              </w:rPr>
              <w:t>, 486 So.2d 745 (La.1986), as an al</w:t>
            </w:r>
            <w:r w:rsidRPr="007667C7">
              <w:rPr>
                <w:rFonts w:ascii="Arial" w:hAnsi="Arial"/>
                <w:sz w:val="20"/>
              </w:rPr>
              <w:softHyphen/>
              <w:t>terna</w:t>
            </w:r>
            <w:r w:rsidRPr="007667C7">
              <w:rPr>
                <w:rFonts w:ascii="Arial" w:hAnsi="Arial"/>
                <w:sz w:val="20"/>
              </w:rPr>
              <w:softHyphen/>
              <w:t>tive to an oath or affirmation:</w:t>
            </w:r>
          </w:p>
        </w:tc>
      </w:tr>
      <w:tr w:rsidR="00DC54EA" w:rsidRPr="009A13E9" w14:paraId="0B95351B" w14:textId="77777777">
        <w:tc>
          <w:tcPr>
            <w:tcW w:w="10440" w:type="dxa"/>
            <w:tcBorders>
              <w:left w:val="single" w:sz="12" w:space="0" w:color="auto"/>
              <w:right w:val="single" w:sz="12" w:space="0" w:color="auto"/>
            </w:tcBorders>
          </w:tcPr>
          <w:p w14:paraId="448DB63E" w14:textId="77777777" w:rsidR="00DC54EA" w:rsidRPr="009A13E9" w:rsidRDefault="00DC54EA">
            <w:pPr>
              <w:ind w:left="360" w:right="200"/>
              <w:jc w:val="both"/>
              <w:rPr>
                <w:rFonts w:ascii="New Century Schlbk" w:hAnsi="New Century Schlbk"/>
                <w:sz w:val="16"/>
              </w:rPr>
            </w:pPr>
          </w:p>
        </w:tc>
      </w:tr>
      <w:tr w:rsidR="00DC54EA" w:rsidRPr="009A13E9" w14:paraId="35B81A3F" w14:textId="77777777">
        <w:tc>
          <w:tcPr>
            <w:tcW w:w="10440" w:type="dxa"/>
            <w:tcBorders>
              <w:left w:val="single" w:sz="12" w:space="0" w:color="auto"/>
              <w:right w:val="single" w:sz="12" w:space="0" w:color="auto"/>
            </w:tcBorders>
          </w:tcPr>
          <w:p w14:paraId="7622F258" w14:textId="77777777" w:rsidR="00DC54EA" w:rsidRPr="009A13E9" w:rsidRDefault="00DC54EA">
            <w:pPr>
              <w:ind w:left="620" w:right="200"/>
              <w:jc w:val="both"/>
              <w:rPr>
                <w:rFonts w:ascii="New Century Schlbk" w:hAnsi="New Century Schlbk"/>
                <w:sz w:val="20"/>
              </w:rPr>
            </w:pPr>
            <w:r w:rsidRPr="007667C7">
              <w:rPr>
                <w:rFonts w:ascii="Arial" w:hAnsi="Arial"/>
                <w:sz w:val="20"/>
              </w:rPr>
              <w:t>I, [Betty Ann Ferguson], do hereby declare that the facts I am about to give are, to the best of my knowledge and belief, accurate, correct, and complete.</w:t>
            </w:r>
          </w:p>
        </w:tc>
      </w:tr>
      <w:tr w:rsidR="00DC54EA" w:rsidRPr="009A13E9" w14:paraId="3FCDFF50" w14:textId="77777777">
        <w:tc>
          <w:tcPr>
            <w:tcW w:w="10440" w:type="dxa"/>
            <w:tcBorders>
              <w:left w:val="single" w:sz="12" w:space="0" w:color="auto"/>
              <w:right w:val="single" w:sz="12" w:space="0" w:color="auto"/>
            </w:tcBorders>
          </w:tcPr>
          <w:p w14:paraId="72D3BB86" w14:textId="77777777" w:rsidR="00DC54EA" w:rsidRPr="009A13E9" w:rsidRDefault="00DC54EA">
            <w:pPr>
              <w:ind w:left="360" w:right="200"/>
              <w:jc w:val="both"/>
              <w:rPr>
                <w:rFonts w:ascii="New Century Schlbk" w:hAnsi="New Century Schlbk"/>
                <w:sz w:val="16"/>
              </w:rPr>
            </w:pPr>
          </w:p>
        </w:tc>
      </w:tr>
      <w:tr w:rsidR="00DC54EA" w:rsidRPr="009A13E9" w14:paraId="104FF7BC" w14:textId="77777777">
        <w:tc>
          <w:tcPr>
            <w:tcW w:w="10440" w:type="dxa"/>
            <w:tcBorders>
              <w:left w:val="single" w:sz="12" w:space="0" w:color="auto"/>
              <w:right w:val="single" w:sz="12" w:space="0" w:color="auto"/>
            </w:tcBorders>
          </w:tcPr>
          <w:p w14:paraId="5CC86ED0" w14:textId="77777777" w:rsidR="00DC54EA" w:rsidRPr="009A13E9" w:rsidRDefault="00DC54EA">
            <w:pPr>
              <w:ind w:left="360" w:right="200"/>
              <w:jc w:val="both"/>
              <w:rPr>
                <w:rFonts w:ascii="New Century Schlbk" w:hAnsi="New Century Schlbk"/>
                <w:sz w:val="20"/>
              </w:rPr>
            </w:pPr>
            <w:r w:rsidRPr="007667C7">
              <w:rPr>
                <w:rFonts w:ascii="Arial" w:hAnsi="Arial"/>
                <w:sz w:val="20"/>
              </w:rPr>
              <w:tab/>
              <w:t>Judge Korner abruptly denied her request, commenting that “[</w:t>
            </w:r>
            <w:proofErr w:type="gramStart"/>
            <w:r w:rsidRPr="007667C7">
              <w:rPr>
                <w:rFonts w:ascii="Arial" w:hAnsi="Arial"/>
                <w:sz w:val="20"/>
              </w:rPr>
              <w:t>a]sking</w:t>
            </w:r>
            <w:proofErr w:type="gramEnd"/>
            <w:r w:rsidRPr="007667C7">
              <w:rPr>
                <w:rFonts w:ascii="Arial" w:hAnsi="Arial"/>
                <w:sz w:val="20"/>
              </w:rPr>
              <w:t xml:space="preserve"> you to affirm that you will give true testimony does not violate any religious conviction that I have ever heard anybody had” and that he did not think affirming “violates any recognizable religious scruple.”  Because Ms. Ferguson could only introduce the relevant evidence through her own testimony, Judge Korner then dismissed her petition for lack of prosecution.  She now appeals to this court.</w:t>
            </w:r>
          </w:p>
        </w:tc>
      </w:tr>
      <w:tr w:rsidR="00DC54EA" w:rsidRPr="009A13E9" w14:paraId="0C6F42AE" w14:textId="77777777">
        <w:tc>
          <w:tcPr>
            <w:tcW w:w="10440" w:type="dxa"/>
            <w:tcBorders>
              <w:left w:val="single" w:sz="12" w:space="0" w:color="auto"/>
              <w:right w:val="single" w:sz="12" w:space="0" w:color="auto"/>
            </w:tcBorders>
          </w:tcPr>
          <w:p w14:paraId="66DF966D" w14:textId="77777777" w:rsidR="00DC54EA" w:rsidRPr="007667C7" w:rsidRDefault="00DC54EA">
            <w:pPr>
              <w:ind w:left="360" w:right="200"/>
              <w:jc w:val="both"/>
              <w:rPr>
                <w:rFonts w:ascii="Arial" w:hAnsi="Arial"/>
                <w:sz w:val="20"/>
              </w:rPr>
            </w:pPr>
            <w:r w:rsidRPr="007667C7">
              <w:rPr>
                <w:rFonts w:ascii="Arial" w:hAnsi="Arial"/>
                <w:sz w:val="20"/>
              </w:rPr>
              <w:t>II.</w:t>
            </w:r>
          </w:p>
          <w:p w14:paraId="2A9AB71B" w14:textId="77777777" w:rsidR="00DC54EA" w:rsidRPr="009A13E9" w:rsidRDefault="00DC54EA">
            <w:pPr>
              <w:ind w:left="360" w:right="200"/>
              <w:jc w:val="both"/>
              <w:rPr>
                <w:rFonts w:ascii="New Century Schlbk" w:hAnsi="New Century Schlbk"/>
                <w:sz w:val="20"/>
              </w:rPr>
            </w:pPr>
            <w:r w:rsidRPr="007667C7">
              <w:rPr>
                <w:rFonts w:ascii="Arial" w:hAnsi="Arial"/>
                <w:b/>
                <w:sz w:val="20"/>
              </w:rPr>
              <w:t xml:space="preserve">  [1</w:t>
            </w:r>
            <w:proofErr w:type="gramStart"/>
            <w:r w:rsidRPr="007667C7">
              <w:rPr>
                <w:rFonts w:ascii="Arial" w:hAnsi="Arial"/>
                <w:b/>
                <w:sz w:val="20"/>
              </w:rPr>
              <w:t>]</w:t>
            </w:r>
            <w:r w:rsidRPr="007667C7">
              <w:rPr>
                <w:rFonts w:ascii="Arial" w:hAnsi="Arial"/>
                <w:sz w:val="20"/>
              </w:rPr>
              <w:t xml:space="preserve">   The</w:t>
            </w:r>
            <w:proofErr w:type="gramEnd"/>
            <w:r w:rsidRPr="007667C7">
              <w:rPr>
                <w:rFonts w:ascii="Arial" w:hAnsi="Arial"/>
                <w:sz w:val="20"/>
              </w:rPr>
              <w:t xml:space="preserve"> right to free exercise of religion, guaranteed by the First Amendment to the Constitution, is one of our most protected constitutional rights.  The Supreme Court has </w:t>
            </w:r>
            <w:proofErr w:type="gramStart"/>
            <w:r w:rsidRPr="007667C7">
              <w:rPr>
                <w:rFonts w:ascii="Arial" w:hAnsi="Arial"/>
                <w:sz w:val="20"/>
              </w:rPr>
              <w:t>stated that</w:t>
            </w:r>
            <w:proofErr w:type="gramEnd"/>
            <w:r w:rsidRPr="007667C7">
              <w:rPr>
                <w:rFonts w:ascii="Arial" w:hAnsi="Arial"/>
                <w:sz w:val="20"/>
              </w:rPr>
              <w:t xml:space="preserve"> “only those inter</w:t>
            </w:r>
            <w:r w:rsidRPr="007667C7">
              <w:rPr>
                <w:rFonts w:ascii="Arial" w:hAnsi="Arial"/>
                <w:sz w:val="20"/>
              </w:rPr>
              <w:softHyphen/>
              <w:t xml:space="preserve">ests of the highest order and those not otherwise served can overbalance legitimate claims to the free exercise of religion.”  </w:t>
            </w:r>
            <w:r w:rsidRPr="007667C7">
              <w:rPr>
                <w:rFonts w:ascii="Arial" w:hAnsi="Arial"/>
                <w:i/>
                <w:sz w:val="20"/>
              </w:rPr>
              <w:t>Wisconsin v. Yoder</w:t>
            </w:r>
            <w:r w:rsidRPr="007667C7">
              <w:rPr>
                <w:rFonts w:ascii="Arial" w:hAnsi="Arial"/>
                <w:sz w:val="20"/>
              </w:rPr>
              <w:t xml:space="preserve">, 406 U.S. 205, 215, 92 S.Ct. 1526, 1533, 32 L.Ed.2d 15 (1972).  Accord </w:t>
            </w:r>
            <w:r w:rsidRPr="007667C7">
              <w:rPr>
                <w:rFonts w:ascii="Arial" w:hAnsi="Arial"/>
                <w:i/>
                <w:sz w:val="20"/>
              </w:rPr>
              <w:t>Hobbie v. Unemployment Appeals Comm’n of Florida</w:t>
            </w:r>
            <w:r w:rsidRPr="007667C7">
              <w:rPr>
                <w:rFonts w:ascii="Arial" w:hAnsi="Arial"/>
                <w:sz w:val="20"/>
              </w:rPr>
              <w:t>, 480 U.S. 136, 141, 107 S.Ct. 1046, 1049, 94 L.Ed.2d 190 (1987)</w:t>
            </w:r>
            <w:proofErr w:type="gramStart"/>
            <w:r w:rsidRPr="007667C7">
              <w:rPr>
                <w:rFonts w:ascii="Arial" w:hAnsi="Arial"/>
                <w:sz w:val="20"/>
              </w:rPr>
              <w:t>;  and</w:t>
            </w:r>
            <w:proofErr w:type="gramEnd"/>
            <w:r w:rsidRPr="007667C7">
              <w:rPr>
                <w:rFonts w:ascii="Arial" w:hAnsi="Arial"/>
                <w:sz w:val="20"/>
              </w:rPr>
              <w:t xml:space="preserve"> </w:t>
            </w:r>
            <w:r w:rsidRPr="007667C7">
              <w:rPr>
                <w:rFonts w:ascii="Arial" w:hAnsi="Arial"/>
                <w:i/>
                <w:sz w:val="20"/>
              </w:rPr>
              <w:t>Sherbert v. Verner</w:t>
            </w:r>
            <w:r w:rsidRPr="007667C7">
              <w:rPr>
                <w:rFonts w:ascii="Arial" w:hAnsi="Arial"/>
                <w:sz w:val="20"/>
              </w:rPr>
              <w:t>, 374 U.S. 398, 403, 83 S.Ct. 1790, 1793, 10 L.Ed.2d 965 (1963).  The protection of the free exercise clause extends to all sincere relig</w:t>
            </w:r>
            <w:r w:rsidRPr="007667C7">
              <w:rPr>
                <w:rFonts w:ascii="Arial" w:hAnsi="Arial"/>
                <w:sz w:val="20"/>
              </w:rPr>
              <w:softHyphen/>
              <w:t>ious beliefs</w:t>
            </w:r>
            <w:proofErr w:type="gramStart"/>
            <w:r w:rsidRPr="007667C7">
              <w:rPr>
                <w:rFonts w:ascii="Arial" w:hAnsi="Arial"/>
                <w:sz w:val="20"/>
              </w:rPr>
              <w:t>;  courts</w:t>
            </w:r>
            <w:proofErr w:type="gramEnd"/>
            <w:r w:rsidRPr="007667C7">
              <w:rPr>
                <w:rFonts w:ascii="Arial" w:hAnsi="Arial"/>
                <w:sz w:val="20"/>
              </w:rPr>
              <w:t xml:space="preserve"> may not evalu</w:t>
            </w:r>
            <w:r w:rsidRPr="007667C7">
              <w:rPr>
                <w:rFonts w:ascii="Arial" w:hAnsi="Arial"/>
                <w:sz w:val="20"/>
              </w:rPr>
              <w:softHyphen/>
              <w:t xml:space="preserve">ate religious truth.  </w:t>
            </w:r>
            <w:r w:rsidRPr="007667C7">
              <w:rPr>
                <w:rFonts w:ascii="Arial" w:hAnsi="Arial"/>
                <w:i/>
                <w:sz w:val="20"/>
              </w:rPr>
              <w:t>United States v. Lee</w:t>
            </w:r>
            <w:r w:rsidRPr="007667C7">
              <w:rPr>
                <w:rFonts w:ascii="Arial" w:hAnsi="Arial"/>
                <w:sz w:val="20"/>
              </w:rPr>
              <w:t>, 455 U.S. 252, 257, 102 S.Ct. 1051, 1055, 71 L.Ed.2d 127 (1982)</w:t>
            </w:r>
            <w:proofErr w:type="gramStart"/>
            <w:r w:rsidRPr="007667C7">
              <w:rPr>
                <w:rFonts w:ascii="Arial" w:hAnsi="Arial"/>
                <w:sz w:val="20"/>
              </w:rPr>
              <w:t>;  and</w:t>
            </w:r>
            <w:proofErr w:type="gramEnd"/>
            <w:r w:rsidRPr="007667C7">
              <w:rPr>
                <w:rFonts w:ascii="Arial" w:hAnsi="Arial"/>
                <w:sz w:val="20"/>
              </w:rPr>
              <w:t xml:space="preserve"> </w:t>
            </w:r>
            <w:r w:rsidRPr="007667C7">
              <w:rPr>
                <w:rFonts w:ascii="Arial" w:hAnsi="Arial"/>
                <w:i/>
                <w:sz w:val="20"/>
              </w:rPr>
              <w:t>United States v. Ballard</w:t>
            </w:r>
            <w:r w:rsidRPr="007667C7">
              <w:rPr>
                <w:rFonts w:ascii="Arial" w:hAnsi="Arial"/>
                <w:sz w:val="20"/>
              </w:rPr>
              <w:t>, 322 U.S. 78, 86-87, 64 S.Ct. 882, 886-887, 88 L.Ed. 1148 (1944).  Fed.R.Evid. 603, applicable in Tax Court under the Internal Revenue Code, 26 U.S.C. § 7453, requires only that a witness “declare that [she] will testify truthfully, by oath or affirmation adminis</w:t>
            </w:r>
            <w:r w:rsidRPr="007667C7">
              <w:rPr>
                <w:rFonts w:ascii="Arial" w:hAnsi="Arial"/>
                <w:sz w:val="20"/>
              </w:rPr>
              <w:softHyphen/>
              <w:t>tered in a form calcu</w:t>
            </w:r>
            <w:r w:rsidRPr="007667C7">
              <w:rPr>
                <w:rFonts w:ascii="Arial" w:hAnsi="Arial"/>
                <w:sz w:val="20"/>
              </w:rPr>
              <w:softHyphen/>
              <w:t>lated to awaken the witness’ conscience and impress the witness’ mind with the duty to do so.”  As ev</w:t>
            </w:r>
            <w:r w:rsidRPr="007667C7">
              <w:rPr>
                <w:rFonts w:ascii="Arial" w:hAnsi="Arial"/>
                <w:sz w:val="20"/>
              </w:rPr>
              <w:softHyphen/>
              <w:t>idenced in the advisory committee notes accompanying Rule 603, Congress clearly intended to mini</w:t>
            </w:r>
            <w:r w:rsidRPr="007667C7">
              <w:rPr>
                <w:rFonts w:ascii="Arial" w:hAnsi="Arial"/>
                <w:sz w:val="20"/>
              </w:rPr>
              <w:softHyphen/>
              <w:t>mize any intrusion on the free exercise of religion:</w:t>
            </w:r>
          </w:p>
        </w:tc>
      </w:tr>
      <w:tr w:rsidR="00DC54EA" w:rsidRPr="009A13E9" w14:paraId="5F7688F1" w14:textId="77777777">
        <w:tc>
          <w:tcPr>
            <w:tcW w:w="10440" w:type="dxa"/>
            <w:tcBorders>
              <w:left w:val="single" w:sz="12" w:space="0" w:color="auto"/>
              <w:right w:val="single" w:sz="12" w:space="0" w:color="auto"/>
            </w:tcBorders>
          </w:tcPr>
          <w:p w14:paraId="235DC5B5" w14:textId="77777777" w:rsidR="00DC54EA" w:rsidRPr="009A13E9" w:rsidRDefault="00DC54EA">
            <w:pPr>
              <w:ind w:left="360" w:right="200"/>
              <w:jc w:val="both"/>
              <w:rPr>
                <w:rFonts w:ascii="New Century Schlbk" w:hAnsi="New Century Schlbk"/>
                <w:sz w:val="16"/>
              </w:rPr>
            </w:pPr>
          </w:p>
        </w:tc>
      </w:tr>
      <w:tr w:rsidR="00DC54EA" w:rsidRPr="009A13E9" w14:paraId="33947CA0" w14:textId="77777777">
        <w:tc>
          <w:tcPr>
            <w:tcW w:w="10440" w:type="dxa"/>
            <w:tcBorders>
              <w:left w:val="single" w:sz="12" w:space="0" w:color="auto"/>
              <w:right w:val="single" w:sz="12" w:space="0" w:color="auto"/>
            </w:tcBorders>
          </w:tcPr>
          <w:p w14:paraId="61707DBC" w14:textId="77777777" w:rsidR="00DC54EA" w:rsidRPr="009A13E9" w:rsidRDefault="00DC54EA">
            <w:pPr>
              <w:ind w:left="620" w:right="200"/>
              <w:jc w:val="both"/>
              <w:rPr>
                <w:rFonts w:ascii="New Century Schlbk" w:hAnsi="New Century Schlbk"/>
                <w:sz w:val="20"/>
              </w:rPr>
            </w:pPr>
            <w:r w:rsidRPr="007667C7">
              <w:rPr>
                <w:rFonts w:ascii="Arial" w:hAnsi="Arial"/>
                <w:sz w:val="20"/>
              </w:rPr>
              <w:t>The rule is designed to afford the flexibility required in dealing with religious adults, atheists, con</w:t>
            </w:r>
            <w:r w:rsidRPr="007667C7">
              <w:rPr>
                <w:rFonts w:ascii="Arial" w:hAnsi="Arial"/>
                <w:sz w:val="20"/>
              </w:rPr>
              <w:softHyphen/>
              <w:t>sci</w:t>
            </w:r>
            <w:r w:rsidRPr="007667C7">
              <w:rPr>
                <w:rFonts w:ascii="Arial" w:hAnsi="Arial"/>
                <w:sz w:val="20"/>
              </w:rPr>
              <w:softHyphen/>
              <w:t>entious objectors, mental defectives, and children.  Affirmation is simply a solemn undertaking to tell the truth</w:t>
            </w:r>
            <w:proofErr w:type="gramStart"/>
            <w:r w:rsidRPr="007667C7">
              <w:rPr>
                <w:rFonts w:ascii="Arial" w:hAnsi="Arial"/>
                <w:sz w:val="20"/>
              </w:rPr>
              <w:t>;  no</w:t>
            </w:r>
            <w:proofErr w:type="gramEnd"/>
            <w:r w:rsidRPr="007667C7">
              <w:rPr>
                <w:rFonts w:ascii="Arial" w:hAnsi="Arial"/>
                <w:sz w:val="20"/>
              </w:rPr>
              <w:t xml:space="preserve"> special verbal formula is required.  Accord Wright and Gold, </w:t>
            </w:r>
            <w:r w:rsidRPr="007667C7">
              <w:rPr>
                <w:rFonts w:ascii="Arial" w:hAnsi="Arial"/>
                <w:i/>
                <w:sz w:val="20"/>
              </w:rPr>
              <w:t>Federal Practice and Procedure</w:t>
            </w:r>
            <w:r w:rsidRPr="007667C7">
              <w:rPr>
                <w:rFonts w:ascii="Arial" w:hAnsi="Arial"/>
                <w:sz w:val="20"/>
              </w:rPr>
              <w:t xml:space="preserve"> § 6044 (West 1990).</w:t>
            </w:r>
          </w:p>
        </w:tc>
      </w:tr>
      <w:tr w:rsidR="00DC54EA" w:rsidRPr="009A13E9" w14:paraId="5E6823C8" w14:textId="77777777">
        <w:tc>
          <w:tcPr>
            <w:tcW w:w="10440" w:type="dxa"/>
            <w:tcBorders>
              <w:left w:val="single" w:sz="12" w:space="0" w:color="auto"/>
              <w:right w:val="single" w:sz="12" w:space="0" w:color="auto"/>
            </w:tcBorders>
          </w:tcPr>
          <w:p w14:paraId="627DCC1B" w14:textId="77777777" w:rsidR="00DC54EA" w:rsidRPr="007667C7" w:rsidRDefault="00DC54EA">
            <w:pPr>
              <w:ind w:left="360" w:right="200"/>
              <w:jc w:val="both"/>
              <w:rPr>
                <w:rFonts w:ascii="Arial" w:hAnsi="Arial"/>
                <w:sz w:val="20"/>
              </w:rPr>
            </w:pPr>
          </w:p>
          <w:p w14:paraId="0F0C1AAD" w14:textId="77777777" w:rsidR="00DC54EA" w:rsidRPr="009A13E9" w:rsidRDefault="00DC54EA">
            <w:pPr>
              <w:ind w:left="360" w:right="200"/>
              <w:jc w:val="both"/>
              <w:rPr>
                <w:rFonts w:ascii="New Century Schlbk" w:hAnsi="New Century Schlbk"/>
                <w:sz w:val="20"/>
              </w:rPr>
            </w:pPr>
            <w:r w:rsidRPr="007667C7">
              <w:rPr>
                <w:rFonts w:ascii="Arial" w:hAnsi="Arial"/>
                <w:sz w:val="20"/>
              </w:rPr>
              <w:tab/>
              <w:t>The courts that have considered oath and affirmation issues have similarly attempted to accommo</w:t>
            </w:r>
            <w:r w:rsidRPr="007667C7">
              <w:rPr>
                <w:rFonts w:ascii="Arial" w:hAnsi="Arial"/>
                <w:sz w:val="20"/>
              </w:rPr>
              <w:softHyphen/>
              <w:t xml:space="preserve">date free exercise objections.  In </w:t>
            </w:r>
            <w:r w:rsidRPr="007667C7">
              <w:rPr>
                <w:rFonts w:ascii="Arial" w:hAnsi="Arial"/>
                <w:i/>
                <w:sz w:val="20"/>
              </w:rPr>
              <w:t>Moore v. United States</w:t>
            </w:r>
            <w:r w:rsidRPr="007667C7">
              <w:rPr>
                <w:rFonts w:ascii="Arial" w:hAnsi="Arial"/>
                <w:sz w:val="20"/>
              </w:rPr>
              <w:t>, 348 U.S. 966, 75 S.Ct. 530, 99 L.Ed. 753 (1955) (per curiam), for example, the Supreme Court held that a trial judge erred in refusing the testi</w:t>
            </w:r>
            <w:r w:rsidRPr="007667C7">
              <w:rPr>
                <w:rFonts w:ascii="Arial" w:hAnsi="Arial"/>
                <w:sz w:val="20"/>
              </w:rPr>
              <w:softHyphen/>
              <w:t>mony of witnesses who would not use the word “solemnly” in their affirmations for religious reasons.</w:t>
            </w:r>
          </w:p>
        </w:tc>
      </w:tr>
      <w:tr w:rsidR="00DC54EA" w:rsidRPr="009A13E9" w14:paraId="74159790" w14:textId="77777777">
        <w:tc>
          <w:tcPr>
            <w:tcW w:w="10440" w:type="dxa"/>
            <w:tcBorders>
              <w:left w:val="single" w:sz="12" w:space="0" w:color="auto"/>
              <w:right w:val="single" w:sz="12" w:space="0" w:color="auto"/>
            </w:tcBorders>
          </w:tcPr>
          <w:p w14:paraId="5C318DB1" w14:textId="77777777" w:rsidR="00DC54EA" w:rsidRPr="009A13E9" w:rsidRDefault="00DC54EA">
            <w:pPr>
              <w:ind w:left="360" w:right="200"/>
              <w:jc w:val="both"/>
              <w:rPr>
                <w:rFonts w:ascii="New Century Schlbk" w:hAnsi="New Century Schlbk"/>
                <w:sz w:val="20"/>
              </w:rPr>
            </w:pPr>
          </w:p>
        </w:tc>
      </w:tr>
      <w:tr w:rsidR="00DC54EA" w:rsidRPr="009A13E9" w14:paraId="56EEAE82" w14:textId="77777777">
        <w:tc>
          <w:tcPr>
            <w:tcW w:w="10440" w:type="dxa"/>
            <w:tcBorders>
              <w:left w:val="single" w:sz="12" w:space="0" w:color="auto"/>
              <w:right w:val="single" w:sz="12" w:space="0" w:color="auto"/>
            </w:tcBorders>
          </w:tcPr>
          <w:p w14:paraId="7B646E76"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  *  *</w:t>
            </w:r>
          </w:p>
        </w:tc>
      </w:tr>
      <w:tr w:rsidR="00DC54EA" w:rsidRPr="009A13E9" w14:paraId="102B701B" w14:textId="77777777">
        <w:tc>
          <w:tcPr>
            <w:tcW w:w="10440" w:type="dxa"/>
            <w:tcBorders>
              <w:left w:val="single" w:sz="12" w:space="0" w:color="auto"/>
              <w:right w:val="single" w:sz="12" w:space="0" w:color="auto"/>
            </w:tcBorders>
          </w:tcPr>
          <w:p w14:paraId="1DA9A4FE"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   </w:t>
            </w:r>
            <w:r w:rsidRPr="007667C7">
              <w:rPr>
                <w:rFonts w:ascii="Arial" w:hAnsi="Arial"/>
                <w:b/>
                <w:sz w:val="20"/>
              </w:rPr>
              <w:t>[2</w:t>
            </w:r>
            <w:proofErr w:type="gramStart"/>
            <w:r w:rsidRPr="007667C7">
              <w:rPr>
                <w:rFonts w:ascii="Arial" w:hAnsi="Arial"/>
                <w:b/>
                <w:sz w:val="20"/>
              </w:rPr>
              <w:t>]</w:t>
            </w:r>
            <w:r w:rsidRPr="007667C7">
              <w:rPr>
                <w:rFonts w:ascii="Arial" w:hAnsi="Arial"/>
                <w:sz w:val="20"/>
              </w:rPr>
              <w:t xml:space="preserve">   The</w:t>
            </w:r>
            <w:proofErr w:type="gramEnd"/>
            <w:r w:rsidRPr="007667C7">
              <w:rPr>
                <w:rFonts w:ascii="Arial" w:hAnsi="Arial"/>
                <w:sz w:val="20"/>
              </w:rPr>
              <w:t xml:space="preserve"> government offers only two justifications for Judge Korner’s refusal to consider the </w:t>
            </w:r>
            <w:r w:rsidRPr="007667C7">
              <w:rPr>
                <w:rFonts w:ascii="Arial" w:hAnsi="Arial"/>
                <w:i/>
                <w:sz w:val="20"/>
              </w:rPr>
              <w:t>Staton</w:t>
            </w:r>
            <w:r w:rsidRPr="007667C7">
              <w:rPr>
                <w:rFonts w:ascii="Arial" w:hAnsi="Arial"/>
                <w:sz w:val="20"/>
              </w:rPr>
              <w:t xml:space="preserve"> statement.  First, the government contends that the Tax Court was not bound by a Louisiana decision.  This argument misses the point entirely</w:t>
            </w:r>
            <w:proofErr w:type="gramStart"/>
            <w:r w:rsidRPr="007667C7">
              <w:rPr>
                <w:rFonts w:ascii="Arial" w:hAnsi="Arial"/>
                <w:sz w:val="20"/>
              </w:rPr>
              <w:t>;  Ms</w:t>
            </w:r>
            <w:proofErr w:type="gramEnd"/>
            <w:r w:rsidRPr="007667C7">
              <w:rPr>
                <w:rFonts w:ascii="Arial" w:hAnsi="Arial"/>
                <w:sz w:val="20"/>
              </w:rPr>
              <w:t xml:space="preserve">. Ferguson offered </w:t>
            </w:r>
            <w:r w:rsidRPr="007667C7">
              <w:rPr>
                <w:rFonts w:ascii="Arial" w:hAnsi="Arial"/>
                <w:i/>
                <w:sz w:val="20"/>
              </w:rPr>
              <w:t>Staton</w:t>
            </w:r>
            <w:r w:rsidRPr="007667C7">
              <w:rPr>
                <w:rFonts w:ascii="Arial" w:hAnsi="Arial"/>
                <w:sz w:val="20"/>
              </w:rPr>
              <w:t xml:space="preserve"> as an alternative to an oath or affirmation and not as a precedent.</w:t>
            </w:r>
          </w:p>
        </w:tc>
      </w:tr>
      <w:tr w:rsidR="00DC54EA" w:rsidRPr="009A13E9" w14:paraId="3F49A117" w14:textId="77777777">
        <w:tc>
          <w:tcPr>
            <w:tcW w:w="10440" w:type="dxa"/>
            <w:tcBorders>
              <w:left w:val="single" w:sz="12" w:space="0" w:color="auto"/>
              <w:right w:val="single" w:sz="12" w:space="0" w:color="auto"/>
            </w:tcBorders>
          </w:tcPr>
          <w:p w14:paraId="6D786863" w14:textId="77777777" w:rsidR="00DC54EA" w:rsidRPr="009A13E9" w:rsidRDefault="00DC54EA">
            <w:pPr>
              <w:ind w:left="360" w:right="200"/>
              <w:jc w:val="both"/>
              <w:rPr>
                <w:rFonts w:ascii="New Century Schlbk" w:hAnsi="New Century Schlbk"/>
                <w:sz w:val="20"/>
              </w:rPr>
            </w:pPr>
          </w:p>
        </w:tc>
      </w:tr>
      <w:tr w:rsidR="00DC54EA" w:rsidRPr="009A13E9" w14:paraId="063C5D1E" w14:textId="77777777">
        <w:tc>
          <w:tcPr>
            <w:tcW w:w="10440" w:type="dxa"/>
            <w:tcBorders>
              <w:left w:val="single" w:sz="12" w:space="0" w:color="auto"/>
              <w:right w:val="single" w:sz="12" w:space="0" w:color="auto"/>
            </w:tcBorders>
          </w:tcPr>
          <w:p w14:paraId="06B5C467"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ab/>
              <w:t xml:space="preserve">The government also claims that the </w:t>
            </w:r>
            <w:r w:rsidRPr="007667C7">
              <w:rPr>
                <w:rFonts w:ascii="Arial" w:hAnsi="Arial"/>
                <w:i/>
                <w:sz w:val="20"/>
              </w:rPr>
              <w:t>Staton</w:t>
            </w:r>
            <w:r w:rsidRPr="007667C7">
              <w:rPr>
                <w:rFonts w:ascii="Arial" w:hAnsi="Arial"/>
                <w:sz w:val="20"/>
              </w:rPr>
              <w:t xml:space="preserve"> statement is insufficient because it does not acknowledge that the government may prosecute false statements for perjury.  The federal perjury statute, 18 U.S.C. § 1621, makes the taking of “an oath” an element of the crime of perjury.  </w:t>
            </w:r>
            <w:r w:rsidRPr="007667C7">
              <w:rPr>
                <w:rFonts w:ascii="Arial" w:hAnsi="Arial"/>
                <w:i/>
                <w:sz w:val="20"/>
              </w:rPr>
              <w:t>Accord Smith v. United States</w:t>
            </w:r>
            <w:r w:rsidRPr="007667C7">
              <w:rPr>
                <w:rFonts w:ascii="Arial" w:hAnsi="Arial"/>
                <w:sz w:val="20"/>
              </w:rPr>
              <w:t xml:space="preserve">, 363 F.2d 143 (5th Cir.1966).  However, Ms. Ferguson has expressed her willingness to add a sentence to the </w:t>
            </w:r>
            <w:r w:rsidRPr="007667C7">
              <w:rPr>
                <w:rFonts w:ascii="Arial" w:hAnsi="Arial"/>
                <w:i/>
                <w:sz w:val="20"/>
              </w:rPr>
              <w:t>Staton</w:t>
            </w:r>
            <w:r w:rsidRPr="007667C7">
              <w:rPr>
                <w:rFonts w:ascii="Arial" w:hAnsi="Arial"/>
                <w:sz w:val="20"/>
              </w:rPr>
              <w:t xml:space="preserve"> statement acknowledging that she is subject to penalties for perjury.  The gov</w:t>
            </w:r>
            <w:r w:rsidRPr="007667C7">
              <w:rPr>
                <w:rFonts w:ascii="Arial" w:hAnsi="Arial"/>
                <w:sz w:val="20"/>
              </w:rPr>
              <w:softHyphen/>
              <w:t xml:space="preserve">ernment has cited a number of cases invalidating perjury convictions where no oath was given, but none of the cases suggest that Ms. Ferguson’s proposal would not suffice as “an oath” for purposes of § 1621.  See </w:t>
            </w:r>
            <w:r w:rsidRPr="007667C7">
              <w:rPr>
                <w:rFonts w:ascii="Arial" w:hAnsi="Arial"/>
                <w:i/>
                <w:sz w:val="20"/>
              </w:rPr>
              <w:t>Gordon</w:t>
            </w:r>
            <w:r w:rsidRPr="007667C7">
              <w:rPr>
                <w:rFonts w:ascii="Arial" w:hAnsi="Arial"/>
                <w:sz w:val="20"/>
              </w:rPr>
              <w:t>, 778 F.2d at 1401 n. 3 (statement by defendant that he understands he must accu</w:t>
            </w:r>
            <w:r w:rsidRPr="007667C7">
              <w:rPr>
                <w:rFonts w:ascii="Arial" w:hAnsi="Arial"/>
                <w:sz w:val="20"/>
              </w:rPr>
              <w:softHyphen/>
              <w:t>rately state the facts combined with acknowledgment that he is testifying under penalty of perjury would sat</w:t>
            </w:r>
            <w:r w:rsidRPr="007667C7">
              <w:rPr>
                <w:rFonts w:ascii="Arial" w:hAnsi="Arial"/>
                <w:sz w:val="20"/>
              </w:rPr>
              <w:softHyphen/>
              <w:t>isfy Fed.R.Civ.P. 43(d)).</w:t>
            </w:r>
          </w:p>
        </w:tc>
      </w:tr>
      <w:tr w:rsidR="00DC54EA" w:rsidRPr="009A13E9" w14:paraId="560B2C99" w14:textId="77777777">
        <w:tc>
          <w:tcPr>
            <w:tcW w:w="10440" w:type="dxa"/>
            <w:tcBorders>
              <w:left w:val="single" w:sz="12" w:space="0" w:color="auto"/>
              <w:right w:val="single" w:sz="12" w:space="0" w:color="auto"/>
            </w:tcBorders>
          </w:tcPr>
          <w:p w14:paraId="54CCF621" w14:textId="77777777" w:rsidR="00DC54EA" w:rsidRPr="009A13E9" w:rsidRDefault="00DC54EA">
            <w:pPr>
              <w:ind w:left="360" w:right="200"/>
              <w:jc w:val="both"/>
              <w:rPr>
                <w:rFonts w:ascii="New Century Schlbk" w:hAnsi="New Century Schlbk"/>
                <w:sz w:val="20"/>
              </w:rPr>
            </w:pPr>
          </w:p>
        </w:tc>
      </w:tr>
      <w:tr w:rsidR="00DC54EA" w:rsidRPr="009A13E9" w14:paraId="6BD33647" w14:textId="77777777">
        <w:tc>
          <w:tcPr>
            <w:tcW w:w="10440" w:type="dxa"/>
            <w:tcBorders>
              <w:left w:val="single" w:sz="12" w:space="0" w:color="auto"/>
              <w:right w:val="single" w:sz="12" w:space="0" w:color="auto"/>
            </w:tcBorders>
          </w:tcPr>
          <w:p w14:paraId="05BAD6E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The parties’ briefs to this court suggest that the disagreement between Ms. Ferguson and Judge Korner might have been nothing more than an unfortunate misunderstanding.  The relevant portion of their dialogue was as follows:</w:t>
            </w:r>
          </w:p>
        </w:tc>
      </w:tr>
      <w:tr w:rsidR="00DC54EA" w:rsidRPr="009A13E9" w14:paraId="5704E181" w14:textId="77777777">
        <w:tc>
          <w:tcPr>
            <w:tcW w:w="10440" w:type="dxa"/>
            <w:tcBorders>
              <w:left w:val="single" w:sz="12" w:space="0" w:color="auto"/>
              <w:right w:val="single" w:sz="12" w:space="0" w:color="auto"/>
            </w:tcBorders>
          </w:tcPr>
          <w:p w14:paraId="20D6443F" w14:textId="77777777" w:rsidR="00DC54EA" w:rsidRPr="009A13E9" w:rsidRDefault="00DC54EA">
            <w:pPr>
              <w:ind w:left="360" w:right="200"/>
              <w:jc w:val="both"/>
              <w:rPr>
                <w:rFonts w:ascii="New Century Schlbk" w:hAnsi="New Century Schlbk"/>
                <w:sz w:val="20"/>
              </w:rPr>
            </w:pPr>
          </w:p>
        </w:tc>
      </w:tr>
      <w:tr w:rsidR="00DC54EA" w:rsidRPr="009A13E9" w14:paraId="08508D8F" w14:textId="77777777">
        <w:tc>
          <w:tcPr>
            <w:tcW w:w="10440" w:type="dxa"/>
            <w:tcBorders>
              <w:left w:val="single" w:sz="12" w:space="0" w:color="auto"/>
              <w:right w:val="single" w:sz="12" w:space="0" w:color="auto"/>
            </w:tcBorders>
          </w:tcPr>
          <w:p w14:paraId="714BE9AD"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I have religious objections to taking an oath.</w:t>
            </w:r>
          </w:p>
        </w:tc>
      </w:tr>
      <w:tr w:rsidR="00DC54EA" w:rsidRPr="009A13E9" w14:paraId="391FE083" w14:textId="77777777">
        <w:tc>
          <w:tcPr>
            <w:tcW w:w="10440" w:type="dxa"/>
            <w:tcBorders>
              <w:left w:val="single" w:sz="12" w:space="0" w:color="auto"/>
              <w:right w:val="single" w:sz="12" w:space="0" w:color="auto"/>
            </w:tcBorders>
          </w:tcPr>
          <w:p w14:paraId="1553563B"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All right.  You may affirm.  Then in lieu of taking an oath, you may affirm.</w:t>
            </w:r>
          </w:p>
        </w:tc>
      </w:tr>
      <w:tr w:rsidR="00DC54EA" w:rsidRPr="009A13E9" w14:paraId="4A989C60" w14:textId="77777777">
        <w:tc>
          <w:tcPr>
            <w:tcW w:w="10440" w:type="dxa"/>
            <w:tcBorders>
              <w:left w:val="single" w:sz="12" w:space="0" w:color="auto"/>
              <w:right w:val="single" w:sz="12" w:space="0" w:color="auto"/>
            </w:tcBorders>
          </w:tcPr>
          <w:p w14:paraId="16F4DB95"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Sir, may I present this to you?  I do not—</w:t>
            </w:r>
          </w:p>
        </w:tc>
      </w:tr>
      <w:tr w:rsidR="00DC54EA" w:rsidRPr="009A13E9" w14:paraId="1EA61528" w14:textId="77777777">
        <w:tc>
          <w:tcPr>
            <w:tcW w:w="10440" w:type="dxa"/>
            <w:tcBorders>
              <w:left w:val="single" w:sz="12" w:space="0" w:color="auto"/>
              <w:right w:val="single" w:sz="12" w:space="0" w:color="auto"/>
            </w:tcBorders>
          </w:tcPr>
          <w:p w14:paraId="5BB3E005"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Just a minute.  The Clerk will ask you.</w:t>
            </w:r>
          </w:p>
        </w:tc>
      </w:tr>
      <w:tr w:rsidR="00DC54EA" w:rsidRPr="009A13E9" w14:paraId="12C067A8" w14:textId="77777777">
        <w:tc>
          <w:tcPr>
            <w:tcW w:w="10440" w:type="dxa"/>
            <w:tcBorders>
              <w:left w:val="single" w:sz="12" w:space="0" w:color="auto"/>
              <w:right w:val="single" w:sz="12" w:space="0" w:color="auto"/>
            </w:tcBorders>
          </w:tcPr>
          <w:p w14:paraId="6486643D"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CLERK:  You are going to have to stand up and raise your right hand.</w:t>
            </w:r>
          </w:p>
        </w:tc>
      </w:tr>
      <w:tr w:rsidR="00DC54EA" w:rsidRPr="009A13E9" w14:paraId="36DC7947" w14:textId="77777777">
        <w:tc>
          <w:tcPr>
            <w:tcW w:w="10440" w:type="dxa"/>
            <w:tcBorders>
              <w:left w:val="single" w:sz="12" w:space="0" w:color="auto"/>
              <w:right w:val="single" w:sz="12" w:space="0" w:color="auto"/>
            </w:tcBorders>
          </w:tcPr>
          <w:p w14:paraId="7A55564B"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I do not affirm either.  I have with me a certified copy of a case from the Louisiana Supreme Court.</w:t>
            </w:r>
          </w:p>
        </w:tc>
      </w:tr>
      <w:tr w:rsidR="00DC54EA" w:rsidRPr="009A13E9" w14:paraId="0BEE2215" w14:textId="77777777">
        <w:tc>
          <w:tcPr>
            <w:tcW w:w="10440" w:type="dxa"/>
            <w:tcBorders>
              <w:left w:val="single" w:sz="12" w:space="0" w:color="auto"/>
              <w:right w:val="single" w:sz="12" w:space="0" w:color="auto"/>
            </w:tcBorders>
          </w:tcPr>
          <w:p w14:paraId="4325605A"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I don’t care about a case from the Louisiana Supreme Court, Ms. Ferguson.  You will either swear or you will affirm under penalties of perjury that the testimony you are about to give is true and correct, to the best of your knowledge.</w:t>
            </w:r>
          </w:p>
        </w:tc>
      </w:tr>
      <w:tr w:rsidR="00DC54EA" w:rsidRPr="009A13E9" w14:paraId="5640974A" w14:textId="77777777">
        <w:tc>
          <w:tcPr>
            <w:tcW w:w="10440" w:type="dxa"/>
            <w:tcBorders>
              <w:left w:val="single" w:sz="12" w:space="0" w:color="auto"/>
              <w:right w:val="single" w:sz="12" w:space="0" w:color="auto"/>
            </w:tcBorders>
          </w:tcPr>
          <w:p w14:paraId="499E3ABF"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In that case, Your Honor, please let the record show that I was willing to go un</w:t>
            </w:r>
            <w:r w:rsidRPr="007667C7">
              <w:rPr>
                <w:rFonts w:ascii="Arial" w:hAnsi="Arial"/>
                <w:sz w:val="20"/>
              </w:rPr>
              <w:softHyphen/>
              <w:t>der what has been acceptable by the State of Louisiana Supreme Court, the State versus—</w:t>
            </w:r>
          </w:p>
        </w:tc>
      </w:tr>
      <w:tr w:rsidR="00DC54EA" w:rsidRPr="009A13E9" w14:paraId="11DA47D0" w14:textId="77777777">
        <w:tc>
          <w:tcPr>
            <w:tcW w:w="10440" w:type="dxa"/>
            <w:tcBorders>
              <w:left w:val="single" w:sz="12" w:space="0" w:color="auto"/>
              <w:right w:val="single" w:sz="12" w:space="0" w:color="auto"/>
            </w:tcBorders>
          </w:tcPr>
          <w:p w14:paraId="06F8CCED"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THE COURT:  We are not in the state of Louisiana, Ms. Ferguson.  You are in a Federal court and you will do as I have instructed, or you will not testify.</w:t>
            </w:r>
          </w:p>
        </w:tc>
      </w:tr>
      <w:tr w:rsidR="00DC54EA" w:rsidRPr="009A13E9" w14:paraId="2271C176" w14:textId="77777777">
        <w:tc>
          <w:tcPr>
            <w:tcW w:w="10440" w:type="dxa"/>
            <w:tcBorders>
              <w:left w:val="single" w:sz="12" w:space="0" w:color="auto"/>
              <w:right w:val="single" w:sz="12" w:space="0" w:color="auto"/>
            </w:tcBorders>
          </w:tcPr>
          <w:p w14:paraId="7E01B460" w14:textId="77777777" w:rsidR="00DC54EA" w:rsidRPr="009A13E9" w:rsidRDefault="00DC54EA">
            <w:pPr>
              <w:ind w:left="620" w:right="200"/>
              <w:jc w:val="both"/>
              <w:rPr>
                <w:rFonts w:ascii="New Century Schlbk" w:hAnsi="New Century Schlbk"/>
                <w:sz w:val="20"/>
              </w:rPr>
            </w:pPr>
            <w:r w:rsidRPr="007667C7">
              <w:rPr>
                <w:rFonts w:ascii="Arial" w:hAnsi="Arial"/>
                <w:sz w:val="20"/>
              </w:rPr>
              <w:t xml:space="preserve">   MS. FERGUSON:  Then let the </w:t>
            </w:r>
            <w:proofErr w:type="gramStart"/>
            <w:r w:rsidRPr="007667C7">
              <w:rPr>
                <w:rFonts w:ascii="Arial" w:hAnsi="Arial"/>
                <w:sz w:val="20"/>
              </w:rPr>
              <w:t>record show</w:t>
            </w:r>
            <w:proofErr w:type="gramEnd"/>
            <w:r w:rsidRPr="007667C7">
              <w:rPr>
                <w:rFonts w:ascii="Arial" w:hAnsi="Arial"/>
                <w:sz w:val="20"/>
              </w:rPr>
              <w:t xml:space="preserve"> that because of my religious objections, I will not be al</w:t>
            </w:r>
            <w:r w:rsidRPr="007667C7">
              <w:rPr>
                <w:rFonts w:ascii="Arial" w:hAnsi="Arial"/>
                <w:sz w:val="20"/>
              </w:rPr>
              <w:softHyphen/>
              <w:t>lowed to testify.</w:t>
            </w:r>
          </w:p>
        </w:tc>
      </w:tr>
      <w:tr w:rsidR="00DC54EA" w:rsidRPr="009A13E9" w14:paraId="7E6E99C6" w14:textId="77777777">
        <w:tc>
          <w:tcPr>
            <w:tcW w:w="10440" w:type="dxa"/>
            <w:tcBorders>
              <w:left w:val="single" w:sz="12" w:space="0" w:color="auto"/>
              <w:right w:val="single" w:sz="12" w:space="0" w:color="auto"/>
            </w:tcBorders>
          </w:tcPr>
          <w:p w14:paraId="011785A4" w14:textId="77777777" w:rsidR="00DC54EA" w:rsidRPr="009A13E9" w:rsidRDefault="00DC54EA">
            <w:pPr>
              <w:ind w:left="360" w:right="200"/>
              <w:jc w:val="both"/>
              <w:rPr>
                <w:rFonts w:ascii="New Century Schlbk" w:hAnsi="New Century Schlbk"/>
                <w:sz w:val="16"/>
              </w:rPr>
            </w:pPr>
          </w:p>
        </w:tc>
      </w:tr>
      <w:tr w:rsidR="00DC54EA" w:rsidRPr="009A13E9" w14:paraId="61B1D4F7" w14:textId="77777777">
        <w:tc>
          <w:tcPr>
            <w:tcW w:w="10440" w:type="dxa"/>
            <w:tcBorders>
              <w:left w:val="single" w:sz="12" w:space="0" w:color="auto"/>
              <w:right w:val="single" w:sz="12" w:space="0" w:color="auto"/>
            </w:tcBorders>
          </w:tcPr>
          <w:p w14:paraId="740E3FC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 Ms. Ferguson contends that Judge Korner insisted that she use either the word “swear” or the word “affirm”</w:t>
            </w:r>
            <w:proofErr w:type="gramStart"/>
            <w:r w:rsidRPr="007667C7">
              <w:rPr>
                <w:rFonts w:ascii="Arial" w:hAnsi="Arial"/>
                <w:sz w:val="20"/>
              </w:rPr>
              <w:t>;  the</w:t>
            </w:r>
            <w:proofErr w:type="gramEnd"/>
            <w:r w:rsidRPr="007667C7">
              <w:rPr>
                <w:rFonts w:ascii="Arial" w:hAnsi="Arial"/>
                <w:sz w:val="20"/>
              </w:rPr>
              <w:t xml:space="preserve"> government suggests instead that Judge Korner only required an affirmation which the government defines as “an alternative that encompasses all remaining forms of truth assertion that would satisfy [Rule 603].”  Even Ms. Ferguson’s proposed alternative would be an “affirmation” under the government’s definition.</w:t>
            </w:r>
          </w:p>
        </w:tc>
      </w:tr>
      <w:tr w:rsidR="00DC54EA" w:rsidRPr="009A13E9" w14:paraId="0DA46A8B" w14:textId="77777777">
        <w:tc>
          <w:tcPr>
            <w:tcW w:w="10440" w:type="dxa"/>
            <w:tcBorders>
              <w:left w:val="single" w:sz="12" w:space="0" w:color="auto"/>
              <w:right w:val="single" w:sz="12" w:space="0" w:color="auto"/>
            </w:tcBorders>
          </w:tcPr>
          <w:p w14:paraId="7E43E490" w14:textId="77777777" w:rsidR="00DC54EA" w:rsidRPr="009A13E9" w:rsidRDefault="00DC54EA">
            <w:pPr>
              <w:ind w:left="360" w:right="200"/>
              <w:jc w:val="both"/>
              <w:rPr>
                <w:rFonts w:ascii="New Century Schlbk" w:hAnsi="New Century Schlbk"/>
                <w:sz w:val="16"/>
              </w:rPr>
            </w:pPr>
          </w:p>
        </w:tc>
      </w:tr>
      <w:tr w:rsidR="00DC54EA" w:rsidRPr="009A13E9" w14:paraId="1D02FB4E" w14:textId="77777777">
        <w:tc>
          <w:tcPr>
            <w:tcW w:w="10440" w:type="dxa"/>
            <w:tcBorders>
              <w:left w:val="single" w:sz="12" w:space="0" w:color="auto"/>
              <w:right w:val="single" w:sz="12" w:space="0" w:color="auto"/>
            </w:tcBorders>
          </w:tcPr>
          <w:p w14:paraId="7797FE48" w14:textId="77777777" w:rsidR="00DC54EA" w:rsidRPr="009A13E9" w:rsidRDefault="00DC54EA">
            <w:pPr>
              <w:pStyle w:val="Boxtext"/>
              <w:spacing w:line="240" w:lineRule="auto"/>
              <w:rPr>
                <w:sz w:val="16"/>
              </w:rPr>
            </w:pPr>
            <w:r w:rsidRPr="007667C7">
              <w:rPr>
                <w:rFonts w:ascii="Arial" w:hAnsi="Arial"/>
              </w:rPr>
              <w:tab/>
              <w:t xml:space="preserve"> If Judge Korner had attempted to accommodate Ms. Ferguson by inquiring into her objections and considering her proposed alternative, the entire matter might have been resolved without an appeal to this court.  Instead, however, Judge Korner erred not only in evaluating Ms. Ferguson’s religious be</w:t>
            </w:r>
            <w:r w:rsidRPr="007667C7">
              <w:rPr>
                <w:rFonts w:ascii="Arial" w:hAnsi="Arial"/>
              </w:rPr>
              <w:softHyphen/>
              <w:t xml:space="preserve">lief, and concluding that it did not violate any “recognizable religious scruple,” but also in conditioning her right to testify and present evidence on what she perceived as a violation of that belief.  His error is all the more apparent in light of the fact that Ms. Ferguson was </w:t>
            </w:r>
            <w:proofErr w:type="gramStart"/>
            <w:r w:rsidRPr="007667C7">
              <w:rPr>
                <w:rFonts w:ascii="Arial" w:hAnsi="Arial"/>
              </w:rPr>
              <w:t>proceeding</w:t>
            </w:r>
            <w:proofErr w:type="gramEnd"/>
            <w:r w:rsidRPr="007667C7">
              <w:rPr>
                <w:rFonts w:ascii="Arial" w:hAnsi="Arial"/>
              </w:rPr>
              <w:t xml:space="preserve"> pro se at the hearing.</w:t>
            </w:r>
          </w:p>
        </w:tc>
      </w:tr>
      <w:tr w:rsidR="00DC54EA" w:rsidRPr="009A13E9" w14:paraId="55AFD592" w14:textId="77777777">
        <w:tc>
          <w:tcPr>
            <w:tcW w:w="10440" w:type="dxa"/>
            <w:tcBorders>
              <w:left w:val="single" w:sz="12" w:space="0" w:color="auto"/>
              <w:right w:val="single" w:sz="12" w:space="0" w:color="auto"/>
            </w:tcBorders>
          </w:tcPr>
          <w:p w14:paraId="166FAF96" w14:textId="77777777" w:rsidR="00DC54EA" w:rsidRPr="009A13E9" w:rsidRDefault="00DC54EA">
            <w:pPr>
              <w:ind w:left="360" w:right="200"/>
              <w:jc w:val="both"/>
              <w:rPr>
                <w:rFonts w:ascii="New Century Schlbk" w:hAnsi="New Century Schlbk"/>
                <w:sz w:val="16"/>
              </w:rPr>
            </w:pPr>
          </w:p>
        </w:tc>
      </w:tr>
      <w:tr w:rsidR="00DC54EA" w:rsidRPr="009A13E9" w14:paraId="24F5E787" w14:textId="77777777">
        <w:tc>
          <w:tcPr>
            <w:tcW w:w="10440" w:type="dxa"/>
            <w:tcBorders>
              <w:left w:val="single" w:sz="12" w:space="0" w:color="auto"/>
              <w:right w:val="single" w:sz="12" w:space="0" w:color="auto"/>
            </w:tcBorders>
          </w:tcPr>
          <w:p w14:paraId="55A13833" w14:textId="77777777" w:rsidR="00DC54EA" w:rsidRPr="009A13E9" w:rsidRDefault="00DC54EA">
            <w:pPr>
              <w:ind w:left="360" w:right="200"/>
              <w:jc w:val="both"/>
              <w:rPr>
                <w:rFonts w:ascii="New Century Schlbk" w:hAnsi="New Century Schlbk"/>
                <w:sz w:val="20"/>
              </w:rPr>
            </w:pPr>
            <w:r w:rsidRPr="007667C7">
              <w:rPr>
                <w:rFonts w:ascii="Arial" w:hAnsi="Arial"/>
                <w:sz w:val="20"/>
              </w:rPr>
              <w:tab/>
              <w:t>We therefore REVERSE the decision of the Tax Court and REMAND this case for further proceedings not inconsistent with this opinion.</w:t>
            </w:r>
          </w:p>
        </w:tc>
      </w:tr>
      <w:tr w:rsidR="00DC54EA" w:rsidRPr="007667C7" w14:paraId="453BFBA4" w14:textId="77777777">
        <w:tc>
          <w:tcPr>
            <w:tcW w:w="10440" w:type="dxa"/>
            <w:tcBorders>
              <w:left w:val="single" w:sz="12" w:space="0" w:color="auto"/>
              <w:bottom w:val="single" w:sz="12" w:space="0" w:color="auto"/>
              <w:right w:val="single" w:sz="12" w:space="0" w:color="auto"/>
            </w:tcBorders>
          </w:tcPr>
          <w:p w14:paraId="08BFE835" w14:textId="77777777" w:rsidR="00DC54EA" w:rsidRPr="007667C7" w:rsidRDefault="00DC54EA">
            <w:pPr>
              <w:ind w:left="360" w:right="200"/>
              <w:jc w:val="both"/>
              <w:rPr>
                <w:rFonts w:ascii="Arial" w:hAnsi="Arial"/>
                <w:sz w:val="20"/>
              </w:rPr>
            </w:pPr>
          </w:p>
        </w:tc>
      </w:tr>
    </w:tbl>
    <w:p w14:paraId="38A0B08D" w14:textId="77777777" w:rsidR="00DC54EA" w:rsidRPr="007667C7" w:rsidRDefault="00DC54EA">
      <w:pPr>
        <w:ind w:right="-720"/>
        <w:jc w:val="both"/>
        <w:rPr>
          <w:rFonts w:ascii="Arial" w:hAnsi="Arial"/>
          <w:sz w:val="6"/>
        </w:rPr>
      </w:pPr>
      <w:r w:rsidRPr="007667C7">
        <w:rPr>
          <w:rFonts w:ascii="Arial" w:hAnsi="Arial"/>
          <w:sz w:val="6"/>
        </w:rPr>
        <w:br w:type="page"/>
      </w:r>
    </w:p>
    <w:tbl>
      <w:tblPr>
        <w:tblW w:w="0" w:type="auto"/>
        <w:tblLayout w:type="fixed"/>
        <w:tblCellMar>
          <w:left w:w="80" w:type="dxa"/>
          <w:right w:w="80" w:type="dxa"/>
        </w:tblCellMar>
        <w:tblLook w:val="0000" w:firstRow="0" w:lastRow="0" w:firstColumn="0" w:lastColumn="0" w:noHBand="0" w:noVBand="0"/>
      </w:tblPr>
      <w:tblGrid>
        <w:gridCol w:w="3480"/>
        <w:gridCol w:w="1740"/>
        <w:gridCol w:w="1740"/>
        <w:gridCol w:w="3480"/>
      </w:tblGrid>
      <w:tr w:rsidR="00DC54EA" w:rsidRPr="009A13E9" w14:paraId="070D5EEA" w14:textId="77777777">
        <w:tc>
          <w:tcPr>
            <w:tcW w:w="10440" w:type="dxa"/>
            <w:gridSpan w:val="4"/>
            <w:tcBorders>
              <w:top w:val="single" w:sz="12" w:space="0" w:color="auto"/>
              <w:left w:val="single" w:sz="12" w:space="0" w:color="auto"/>
              <w:right w:val="single" w:sz="12" w:space="0" w:color="auto"/>
            </w:tcBorders>
          </w:tcPr>
          <w:p w14:paraId="07A1DE2E" w14:textId="77777777" w:rsidR="00DC54EA" w:rsidRPr="007667C7" w:rsidRDefault="00DC54EA">
            <w:pPr>
              <w:ind w:left="360" w:right="200"/>
              <w:jc w:val="both"/>
              <w:rPr>
                <w:rFonts w:ascii="Arial" w:hAnsi="Arial"/>
                <w:b/>
                <w:sz w:val="6"/>
              </w:rPr>
            </w:pPr>
          </w:p>
          <w:p w14:paraId="67D52CBA" w14:textId="77777777" w:rsidR="00DC54EA" w:rsidRPr="00C335D8" w:rsidRDefault="00DC54EA">
            <w:pPr>
              <w:pStyle w:val="Heading2"/>
              <w:rPr>
                <w:rFonts w:ascii="Arial" w:hAnsi="Arial"/>
                <w:sz w:val="16"/>
                <w:szCs w:val="16"/>
              </w:rPr>
            </w:pPr>
            <w:r w:rsidRPr="00C335D8">
              <w:rPr>
                <w:rFonts w:ascii="Arial" w:hAnsi="Arial"/>
                <w:sz w:val="16"/>
                <w:szCs w:val="16"/>
              </w:rPr>
              <w:t>Additional Background—</w:t>
            </w:r>
          </w:p>
          <w:p w14:paraId="7821C73D" w14:textId="77777777" w:rsidR="00DC54EA" w:rsidRPr="00C335D8" w:rsidRDefault="00DC54EA">
            <w:pPr>
              <w:pStyle w:val="CaseTitle"/>
              <w:spacing w:line="240" w:lineRule="auto"/>
              <w:rPr>
                <w:rFonts w:ascii="Arial" w:hAnsi="Arial"/>
                <w:sz w:val="20"/>
              </w:rPr>
            </w:pPr>
            <w:r w:rsidRPr="00C335D8">
              <w:rPr>
                <w:rFonts w:ascii="Arial" w:hAnsi="Arial"/>
                <w:sz w:val="20"/>
              </w:rPr>
              <w:t xml:space="preserve">Corpus </w:t>
            </w:r>
            <w:proofErr w:type="spellStart"/>
            <w:r w:rsidRPr="00C335D8">
              <w:rPr>
                <w:rFonts w:ascii="Arial" w:hAnsi="Arial"/>
                <w:sz w:val="20"/>
              </w:rPr>
              <w:t>Juris</w:t>
            </w:r>
            <w:proofErr w:type="spellEnd"/>
            <w:r w:rsidRPr="00C335D8">
              <w:rPr>
                <w:rFonts w:ascii="Arial" w:hAnsi="Arial"/>
                <w:sz w:val="20"/>
              </w:rPr>
              <w:t xml:space="preserve"> </w:t>
            </w:r>
            <w:proofErr w:type="spellStart"/>
            <w:r w:rsidRPr="00C335D8">
              <w:rPr>
                <w:rFonts w:ascii="Arial" w:hAnsi="Arial"/>
                <w:sz w:val="20"/>
              </w:rPr>
              <w:t>Secundum</w:t>
            </w:r>
            <w:proofErr w:type="spellEnd"/>
          </w:p>
          <w:p w14:paraId="42E57009" w14:textId="77777777" w:rsidR="00DC54EA" w:rsidRPr="007667C7" w:rsidRDefault="00DC54EA">
            <w:pPr>
              <w:ind w:left="360" w:right="200"/>
              <w:jc w:val="both"/>
              <w:rPr>
                <w:rFonts w:ascii="Arial" w:hAnsi="Arial"/>
                <w:b/>
                <w:sz w:val="6"/>
              </w:rPr>
            </w:pPr>
          </w:p>
          <w:p w14:paraId="7707F34A" w14:textId="77777777" w:rsidR="00DC54EA" w:rsidRPr="009A13E9" w:rsidRDefault="00DC54EA">
            <w:pPr>
              <w:ind w:left="360" w:right="200"/>
              <w:jc w:val="both"/>
              <w:rPr>
                <w:rFonts w:ascii="New Century Schlbk" w:hAnsi="New Century Schlbk"/>
                <w:sz w:val="14"/>
              </w:rPr>
            </w:pPr>
            <w:r w:rsidRPr="007667C7">
              <w:rPr>
                <w:rFonts w:ascii="Arial" w:hAnsi="Arial"/>
                <w:sz w:val="14"/>
              </w:rPr>
              <w:tab/>
              <w:t>Because the body of American case law is huge, finding relevant precedents would be nearly im</w:t>
            </w:r>
            <w:r w:rsidRPr="007667C7">
              <w:rPr>
                <w:rFonts w:ascii="Arial" w:hAnsi="Arial"/>
                <w:sz w:val="14"/>
              </w:rPr>
              <w:softHyphen/>
              <w:t xml:space="preserve">practicable </w:t>
            </w:r>
            <w:proofErr w:type="gramStart"/>
            <w:r w:rsidRPr="007667C7">
              <w:rPr>
                <w:rFonts w:ascii="Arial" w:hAnsi="Arial"/>
                <w:sz w:val="14"/>
              </w:rPr>
              <w:t>were</w:t>
            </w:r>
            <w:proofErr w:type="gramEnd"/>
            <w:r w:rsidRPr="007667C7">
              <w:rPr>
                <w:rFonts w:ascii="Arial" w:hAnsi="Arial"/>
                <w:sz w:val="14"/>
              </w:rPr>
              <w:t xml:space="preserve"> it not for case digests, legal encyclopedias, and similar publications that classify deci</w:t>
            </w:r>
            <w:r w:rsidRPr="007667C7">
              <w:rPr>
                <w:rFonts w:ascii="Arial" w:hAnsi="Arial"/>
                <w:sz w:val="14"/>
              </w:rPr>
              <w:softHyphen/>
              <w:t>sions by subject.  Like case digests, legal encyclope</w:t>
            </w:r>
            <w:r w:rsidRPr="007667C7">
              <w:rPr>
                <w:rFonts w:ascii="Arial" w:hAnsi="Arial"/>
                <w:sz w:val="14"/>
              </w:rPr>
              <w:softHyphen/>
              <w:t xml:space="preserve">dias present topics alphabetically, but encyclopedias provide more detail.  The legal encyclopedia </w:t>
            </w:r>
            <w:r w:rsidRPr="007667C7">
              <w:rPr>
                <w:rFonts w:ascii="Arial" w:hAnsi="Arial"/>
                <w:b/>
                <w:sz w:val="14"/>
              </w:rPr>
              <w:t xml:space="preserve">Corpus </w:t>
            </w:r>
            <w:proofErr w:type="spellStart"/>
            <w:r w:rsidRPr="007667C7">
              <w:rPr>
                <w:rFonts w:ascii="Arial" w:hAnsi="Arial"/>
                <w:b/>
                <w:sz w:val="14"/>
              </w:rPr>
              <w:t>Juris</w:t>
            </w:r>
            <w:proofErr w:type="spellEnd"/>
            <w:r w:rsidRPr="007667C7">
              <w:rPr>
                <w:rFonts w:ascii="Arial" w:hAnsi="Arial"/>
                <w:b/>
                <w:sz w:val="14"/>
              </w:rPr>
              <w:t xml:space="preserve"> </w:t>
            </w:r>
            <w:proofErr w:type="spellStart"/>
            <w:r w:rsidRPr="007667C7">
              <w:rPr>
                <w:rFonts w:ascii="Arial" w:hAnsi="Arial"/>
                <w:b/>
                <w:sz w:val="14"/>
              </w:rPr>
              <w:t>Secundum</w:t>
            </w:r>
            <w:proofErr w:type="spellEnd"/>
            <w:r w:rsidRPr="007667C7">
              <w:rPr>
                <w:rFonts w:ascii="Arial" w:hAnsi="Arial"/>
                <w:sz w:val="14"/>
              </w:rPr>
              <w:t xml:space="preserve"> (or C.J.S.) covers the entire field of law.  It has been cited or directly quoted more than 50,000 times in federal and state appellate court opinions.  The following is an excerpt from C.J.S.—Section 47 of the category “Theaters &amp; Shows” (86 C.J.S. </w:t>
            </w:r>
            <w:r w:rsidRPr="007667C7">
              <w:rPr>
                <w:rFonts w:ascii="Arial" w:hAnsi="Arial"/>
                <w:i/>
                <w:sz w:val="14"/>
              </w:rPr>
              <w:t>Theaters &amp; Shows</w:t>
            </w:r>
            <w:r w:rsidRPr="007667C7">
              <w:rPr>
                <w:rFonts w:ascii="Arial" w:hAnsi="Arial"/>
                <w:sz w:val="14"/>
              </w:rPr>
              <w:t xml:space="preserve"> § 47).</w:t>
            </w:r>
          </w:p>
        </w:tc>
      </w:tr>
      <w:tr w:rsidR="00DC54EA" w:rsidRPr="009A13E9" w14:paraId="14DF23ED" w14:textId="77777777">
        <w:tc>
          <w:tcPr>
            <w:tcW w:w="5220" w:type="dxa"/>
            <w:gridSpan w:val="2"/>
            <w:tcBorders>
              <w:left w:val="single" w:sz="12" w:space="0" w:color="auto"/>
              <w:right w:val="single" w:sz="6" w:space="0" w:color="auto"/>
            </w:tcBorders>
          </w:tcPr>
          <w:p w14:paraId="26FEE265" w14:textId="77777777" w:rsidR="00DC54EA" w:rsidRPr="007667C7" w:rsidRDefault="00DC54EA">
            <w:pPr>
              <w:ind w:left="180" w:right="120"/>
              <w:jc w:val="both"/>
              <w:rPr>
                <w:rFonts w:ascii="Arial" w:hAnsi="Arial"/>
                <w:sz w:val="8"/>
              </w:rPr>
            </w:pPr>
          </w:p>
          <w:p w14:paraId="1B3FF6B0" w14:textId="77777777" w:rsidR="00DC54EA" w:rsidRPr="007667C7" w:rsidRDefault="00DC54EA">
            <w:pPr>
              <w:ind w:left="180" w:right="120"/>
              <w:jc w:val="both"/>
              <w:rPr>
                <w:rFonts w:ascii="Arial" w:hAnsi="Arial"/>
                <w:b/>
                <w:sz w:val="14"/>
              </w:rPr>
            </w:pPr>
            <w:r w:rsidRPr="007667C7">
              <w:rPr>
                <w:rFonts w:ascii="Arial" w:hAnsi="Arial"/>
                <w:sz w:val="14"/>
              </w:rPr>
              <w:t xml:space="preserve">    </w:t>
            </w:r>
            <w:r w:rsidRPr="007667C7">
              <w:rPr>
                <w:rFonts w:ascii="Arial" w:hAnsi="Arial"/>
                <w:b/>
                <w:sz w:val="14"/>
              </w:rPr>
              <w:t>f.     Assumption of Risk</w:t>
            </w:r>
          </w:p>
          <w:p w14:paraId="7FE7880A" w14:textId="77777777" w:rsidR="00DC54EA" w:rsidRPr="007667C7" w:rsidRDefault="00DC54EA">
            <w:pPr>
              <w:ind w:left="180" w:right="120"/>
              <w:jc w:val="both"/>
              <w:rPr>
                <w:rFonts w:ascii="Arial" w:hAnsi="Arial"/>
                <w:b/>
                <w:sz w:val="8"/>
              </w:rPr>
            </w:pPr>
          </w:p>
          <w:p w14:paraId="705ADA1F" w14:textId="77777777" w:rsidR="00DC54EA" w:rsidRPr="007667C7" w:rsidRDefault="00DC54EA">
            <w:pPr>
              <w:ind w:left="180" w:right="120"/>
              <w:jc w:val="both"/>
              <w:rPr>
                <w:rFonts w:ascii="Arial" w:hAnsi="Arial"/>
                <w:b/>
                <w:sz w:val="14"/>
              </w:rPr>
            </w:pPr>
            <w:r w:rsidRPr="007667C7">
              <w:rPr>
                <w:rFonts w:ascii="Arial" w:hAnsi="Arial"/>
                <w:b/>
                <w:sz w:val="14"/>
              </w:rPr>
              <w:t xml:space="preserve">     A patron assumes the ordinary and natural risks of the char</w:t>
            </w:r>
            <w:r w:rsidRPr="007667C7">
              <w:rPr>
                <w:rFonts w:ascii="Arial" w:hAnsi="Arial"/>
                <w:sz w:val="14"/>
              </w:rPr>
              <w:softHyphen/>
            </w:r>
            <w:r w:rsidRPr="007667C7">
              <w:rPr>
                <w:rFonts w:ascii="Arial" w:hAnsi="Arial"/>
                <w:b/>
                <w:sz w:val="14"/>
              </w:rPr>
              <w:t>acter of the premises, devices, and form of amusement of which he has actual or im</w:t>
            </w:r>
            <w:r w:rsidRPr="007667C7">
              <w:rPr>
                <w:rFonts w:ascii="Arial" w:hAnsi="Arial"/>
                <w:sz w:val="14"/>
              </w:rPr>
              <w:softHyphen/>
            </w:r>
            <w:r w:rsidRPr="007667C7">
              <w:rPr>
                <w:rFonts w:ascii="Arial" w:hAnsi="Arial"/>
                <w:b/>
                <w:sz w:val="14"/>
              </w:rPr>
              <w:t>puted knowledge; but he does not assume the risk of injury from the neg</w:t>
            </w:r>
            <w:r w:rsidRPr="007667C7">
              <w:rPr>
                <w:rFonts w:ascii="Arial" w:hAnsi="Arial"/>
                <w:sz w:val="14"/>
              </w:rPr>
              <w:softHyphen/>
            </w:r>
            <w:r w:rsidRPr="007667C7">
              <w:rPr>
                <w:rFonts w:ascii="Arial" w:hAnsi="Arial"/>
                <w:b/>
                <w:sz w:val="14"/>
              </w:rPr>
              <w:t xml:space="preserve">ligence of the proprietor or third persons. </w:t>
            </w:r>
          </w:p>
          <w:p w14:paraId="686EC614" w14:textId="77777777" w:rsidR="00DC54EA" w:rsidRPr="009A13E9" w:rsidRDefault="00DC54EA">
            <w:pPr>
              <w:ind w:left="180" w:right="120"/>
              <w:jc w:val="both"/>
              <w:rPr>
                <w:rFonts w:ascii="New Century Schlbk" w:hAnsi="New Century Schlbk"/>
                <w:sz w:val="14"/>
              </w:rPr>
            </w:pPr>
            <w:r w:rsidRPr="007667C7">
              <w:rPr>
                <w:rFonts w:ascii="Arial" w:hAnsi="Arial"/>
                <w:sz w:val="14"/>
              </w:rPr>
              <w:t xml:space="preserve">          </w:t>
            </w:r>
            <w:proofErr w:type="gramStart"/>
            <w:r w:rsidRPr="007667C7">
              <w:rPr>
                <w:rFonts w:ascii="Arial" w:hAnsi="Arial"/>
                <w:sz w:val="14"/>
              </w:rPr>
              <w:t>While  it</w:t>
            </w:r>
            <w:proofErr w:type="gramEnd"/>
            <w:r w:rsidRPr="007667C7">
              <w:rPr>
                <w:rFonts w:ascii="Arial" w:hAnsi="Arial"/>
                <w:sz w:val="14"/>
              </w:rPr>
              <w:t xml:space="preserve"> has been  said that, strictly  speaking, the  doctrine  of  as</w:t>
            </w:r>
            <w:r w:rsidRPr="007667C7">
              <w:rPr>
                <w:rFonts w:ascii="Arial" w:hAnsi="Arial"/>
                <w:sz w:val="14"/>
              </w:rPr>
              <w:softHyphen/>
              <w:t xml:space="preserve">sumed </w:t>
            </w:r>
          </w:p>
        </w:tc>
        <w:tc>
          <w:tcPr>
            <w:tcW w:w="5220" w:type="dxa"/>
            <w:gridSpan w:val="2"/>
            <w:tcBorders>
              <w:right w:val="single" w:sz="12" w:space="0" w:color="auto"/>
            </w:tcBorders>
          </w:tcPr>
          <w:p w14:paraId="7CB1DFFA" w14:textId="77777777" w:rsidR="00DC54EA" w:rsidRPr="007667C7" w:rsidRDefault="00DC54EA">
            <w:pPr>
              <w:ind w:left="80" w:right="120"/>
              <w:jc w:val="both"/>
              <w:rPr>
                <w:rFonts w:ascii="Arial" w:hAnsi="Arial"/>
                <w:sz w:val="8"/>
              </w:rPr>
            </w:pPr>
          </w:p>
          <w:p w14:paraId="4EEA7D8B" w14:textId="77777777" w:rsidR="00DC54EA" w:rsidRPr="009A13E9" w:rsidRDefault="00DC54EA">
            <w:pPr>
              <w:ind w:left="80" w:right="120"/>
              <w:jc w:val="both"/>
              <w:rPr>
                <w:rFonts w:ascii="New Century Schlbk" w:hAnsi="New Century Schlbk"/>
                <w:sz w:val="14"/>
              </w:rPr>
            </w:pPr>
            <w:proofErr w:type="gramStart"/>
            <w:r w:rsidRPr="007667C7">
              <w:rPr>
                <w:rFonts w:ascii="Arial" w:hAnsi="Arial"/>
                <w:sz w:val="14"/>
              </w:rPr>
              <w:t>risk</w:t>
            </w:r>
            <w:proofErr w:type="gramEnd"/>
            <w:r w:rsidRPr="007667C7">
              <w:rPr>
                <w:rFonts w:ascii="Arial" w:hAnsi="Arial"/>
                <w:sz w:val="14"/>
              </w:rPr>
              <w:t xml:space="preserve">  is   applicable   only  to  the  relationship of master and servant,</w:t>
            </w:r>
            <w:r w:rsidRPr="007667C7">
              <w:rPr>
                <w:rFonts w:ascii="Arial" w:hAnsi="Arial"/>
                <w:position w:val="6"/>
                <w:sz w:val="10"/>
              </w:rPr>
              <w:t>3</w:t>
            </w:r>
            <w:r w:rsidRPr="007667C7">
              <w:rPr>
                <w:rFonts w:ascii="Arial" w:hAnsi="Arial"/>
                <w:sz w:val="14"/>
              </w:rPr>
              <w:t xml:space="preserve">  pa</w:t>
            </w:r>
            <w:r w:rsidRPr="007667C7">
              <w:rPr>
                <w:rFonts w:ascii="Arial" w:hAnsi="Arial"/>
                <w:sz w:val="14"/>
              </w:rPr>
              <w:softHyphen/>
              <w:t>trons of places of public amusement assume all natural and inherent risks pertaining to the character of the structure,</w:t>
            </w:r>
            <w:r w:rsidRPr="007667C7">
              <w:rPr>
                <w:rFonts w:ascii="Arial" w:hAnsi="Arial"/>
                <w:position w:val="6"/>
                <w:sz w:val="10"/>
              </w:rPr>
              <w:t>4</w:t>
            </w:r>
            <w:r w:rsidRPr="007667C7">
              <w:rPr>
                <w:rFonts w:ascii="Arial" w:hAnsi="Arial"/>
                <w:sz w:val="14"/>
              </w:rPr>
              <w:t xml:space="preserve"> or to the devices located therein,</w:t>
            </w:r>
            <w:r w:rsidRPr="007667C7">
              <w:rPr>
                <w:rFonts w:ascii="Arial" w:hAnsi="Arial"/>
                <w:position w:val="6"/>
                <w:sz w:val="10"/>
              </w:rPr>
              <w:t>5</w:t>
            </w:r>
            <w:r w:rsidRPr="007667C7">
              <w:rPr>
                <w:rFonts w:ascii="Arial" w:hAnsi="Arial"/>
                <w:position w:val="6"/>
                <w:sz w:val="14"/>
              </w:rPr>
              <w:t xml:space="preserve"> </w:t>
            </w:r>
            <w:r w:rsidRPr="007667C7">
              <w:rPr>
                <w:rFonts w:ascii="Arial" w:hAnsi="Arial"/>
                <w:sz w:val="14"/>
              </w:rPr>
              <w:t>or to the form of amusement,</w:t>
            </w:r>
            <w:r w:rsidRPr="007667C7">
              <w:rPr>
                <w:rFonts w:ascii="Arial" w:hAnsi="Arial"/>
                <w:position w:val="6"/>
                <w:sz w:val="10"/>
              </w:rPr>
              <w:t>6</w:t>
            </w:r>
            <w:r w:rsidRPr="007667C7">
              <w:rPr>
                <w:rFonts w:ascii="Arial" w:hAnsi="Arial"/>
                <w:sz w:val="14"/>
              </w:rPr>
              <w:t xml:space="preserve"> which are open and visible.  Patrons of places of public amusement assume such risks as are incident to their going without compul</w:t>
            </w:r>
            <w:r w:rsidRPr="007667C7">
              <w:rPr>
                <w:rFonts w:ascii="Arial" w:hAnsi="Arial"/>
                <w:sz w:val="14"/>
              </w:rPr>
              <w:softHyphen/>
              <w:t xml:space="preserve">sion to some part of   </w:t>
            </w:r>
            <w:proofErr w:type="gramStart"/>
            <w:r w:rsidRPr="007667C7">
              <w:rPr>
                <w:rFonts w:ascii="Arial" w:hAnsi="Arial"/>
                <w:sz w:val="14"/>
              </w:rPr>
              <w:t>the  premises</w:t>
            </w:r>
            <w:proofErr w:type="gramEnd"/>
            <w:r w:rsidRPr="007667C7">
              <w:rPr>
                <w:rFonts w:ascii="Arial" w:hAnsi="Arial"/>
                <w:sz w:val="14"/>
              </w:rPr>
              <w:t xml:space="preserve">  to which patrons  are not  invited  and  where they are not expected to be, and which risks </w:t>
            </w:r>
          </w:p>
        </w:tc>
      </w:tr>
      <w:tr w:rsidR="00DC54EA" w:rsidRPr="007667C7" w14:paraId="6C274BE6" w14:textId="77777777">
        <w:tc>
          <w:tcPr>
            <w:tcW w:w="3480" w:type="dxa"/>
            <w:tcBorders>
              <w:left w:val="single" w:sz="12" w:space="0" w:color="auto"/>
            </w:tcBorders>
          </w:tcPr>
          <w:p w14:paraId="4F71FA30" w14:textId="77777777" w:rsidR="00DC54EA" w:rsidRPr="009A13E9" w:rsidRDefault="00DC54EA">
            <w:pPr>
              <w:spacing w:line="120" w:lineRule="atLeast"/>
              <w:ind w:left="360" w:right="80" w:hanging="180"/>
              <w:jc w:val="both"/>
              <w:rPr>
                <w:rFonts w:ascii="New Century Schlbk" w:hAnsi="New Century Schlbk"/>
                <w:sz w:val="4"/>
              </w:rPr>
            </w:pPr>
          </w:p>
        </w:tc>
        <w:tc>
          <w:tcPr>
            <w:tcW w:w="3480" w:type="dxa"/>
            <w:gridSpan w:val="2"/>
          </w:tcPr>
          <w:p w14:paraId="6297DB07" w14:textId="77777777" w:rsidR="00DC54EA" w:rsidRPr="009A13E9" w:rsidRDefault="00DC54EA">
            <w:pPr>
              <w:spacing w:line="120" w:lineRule="atLeast"/>
              <w:ind w:left="180" w:right="80"/>
              <w:jc w:val="both"/>
              <w:rPr>
                <w:rFonts w:ascii="New Century Schlbk" w:hAnsi="New Century Schlbk"/>
                <w:sz w:val="4"/>
              </w:rPr>
            </w:pPr>
          </w:p>
        </w:tc>
        <w:tc>
          <w:tcPr>
            <w:tcW w:w="3480" w:type="dxa"/>
            <w:tcBorders>
              <w:right w:val="single" w:sz="12" w:space="0" w:color="auto"/>
            </w:tcBorders>
          </w:tcPr>
          <w:p w14:paraId="76BA8257" w14:textId="77777777" w:rsidR="00DC54EA" w:rsidRPr="009A13E9" w:rsidRDefault="00DC54EA">
            <w:pPr>
              <w:tabs>
                <w:tab w:val="left" w:pos="-4040"/>
                <w:tab w:val="left" w:pos="-1160"/>
              </w:tabs>
              <w:spacing w:line="120" w:lineRule="atLeast"/>
              <w:ind w:left="180" w:hanging="180"/>
              <w:jc w:val="both"/>
              <w:rPr>
                <w:rFonts w:ascii="New Century Schlbk" w:hAnsi="New Century Schlbk"/>
                <w:sz w:val="4"/>
              </w:rPr>
            </w:pPr>
          </w:p>
        </w:tc>
      </w:tr>
      <w:tr w:rsidR="00DC54EA" w:rsidRPr="007667C7" w14:paraId="1392311E" w14:textId="77777777">
        <w:tc>
          <w:tcPr>
            <w:tcW w:w="3480" w:type="dxa"/>
            <w:tcBorders>
              <w:left w:val="single" w:sz="12" w:space="0" w:color="auto"/>
              <w:right w:val="single" w:sz="6" w:space="0" w:color="auto"/>
            </w:tcBorders>
          </w:tcPr>
          <w:p w14:paraId="3A979FFB" w14:textId="77777777" w:rsidR="00DC54EA" w:rsidRPr="007667C7" w:rsidRDefault="00DC54EA">
            <w:pPr>
              <w:ind w:left="360" w:right="80" w:hanging="180"/>
              <w:jc w:val="both"/>
              <w:rPr>
                <w:rFonts w:ascii="Arial" w:hAnsi="Arial"/>
                <w:sz w:val="14"/>
              </w:rPr>
            </w:pPr>
            <w:r w:rsidRPr="007667C7">
              <w:rPr>
                <w:rFonts w:ascii="Arial" w:hAnsi="Arial"/>
                <w:b/>
                <w:sz w:val="14"/>
              </w:rPr>
              <w:t>3.</w:t>
            </w:r>
            <w:r w:rsidRPr="007667C7">
              <w:rPr>
                <w:rFonts w:ascii="Arial" w:hAnsi="Arial"/>
                <w:sz w:val="14"/>
              </w:rPr>
              <w:t xml:space="preserve"> Cal.—Potts v. Crafts, 42 P.2d 87, 5 Cal.App.2d 83.</w:t>
            </w:r>
          </w:p>
          <w:p w14:paraId="0A03664F" w14:textId="77777777" w:rsidR="00DC54EA" w:rsidRPr="007667C7" w:rsidRDefault="00DC54EA">
            <w:pPr>
              <w:ind w:left="360" w:right="80" w:hanging="180"/>
              <w:jc w:val="both"/>
              <w:rPr>
                <w:rFonts w:ascii="Arial" w:hAnsi="Arial"/>
                <w:sz w:val="14"/>
              </w:rPr>
            </w:pPr>
            <w:r w:rsidRPr="007667C7">
              <w:rPr>
                <w:rFonts w:ascii="Arial" w:hAnsi="Arial"/>
                <w:b/>
                <w:sz w:val="14"/>
              </w:rPr>
              <w:t>4.</w:t>
            </w:r>
            <w:r w:rsidRPr="007667C7">
              <w:rPr>
                <w:rFonts w:ascii="Arial" w:hAnsi="Arial"/>
                <w:sz w:val="14"/>
              </w:rPr>
              <w:t xml:space="preserve">   Mo.—King v. Ringling, 130 S.W. 482, 145 </w:t>
            </w:r>
            <w:proofErr w:type="spellStart"/>
            <w:r w:rsidRPr="007667C7">
              <w:rPr>
                <w:rFonts w:ascii="Arial" w:hAnsi="Arial"/>
                <w:sz w:val="14"/>
              </w:rPr>
              <w:t>Mo.App</w:t>
            </w:r>
            <w:proofErr w:type="spellEnd"/>
            <w:r w:rsidRPr="007667C7">
              <w:rPr>
                <w:rFonts w:ascii="Arial" w:hAnsi="Arial"/>
                <w:sz w:val="14"/>
              </w:rPr>
              <w:t xml:space="preserve">. </w:t>
            </w:r>
            <w:proofErr w:type="gramStart"/>
            <w:r w:rsidRPr="007667C7">
              <w:rPr>
                <w:rFonts w:ascii="Arial" w:hAnsi="Arial"/>
                <w:sz w:val="14"/>
              </w:rPr>
              <w:t>285.  62 C.J. p 877 note</w:t>
            </w:r>
            <w:proofErr w:type="gramEnd"/>
            <w:r w:rsidRPr="007667C7">
              <w:rPr>
                <w:rFonts w:ascii="Arial" w:hAnsi="Arial"/>
                <w:sz w:val="14"/>
              </w:rPr>
              <w:t xml:space="preserve"> 62.</w:t>
            </w:r>
          </w:p>
          <w:p w14:paraId="0E45211D" w14:textId="77777777" w:rsidR="00DC54EA" w:rsidRPr="007667C7" w:rsidRDefault="00DC54EA">
            <w:pPr>
              <w:ind w:left="360" w:right="80" w:hanging="180"/>
              <w:jc w:val="both"/>
              <w:rPr>
                <w:rFonts w:ascii="Arial" w:hAnsi="Arial"/>
                <w:b/>
                <w:sz w:val="14"/>
              </w:rPr>
            </w:pPr>
            <w:r w:rsidRPr="007667C7">
              <w:rPr>
                <w:rFonts w:ascii="Arial" w:hAnsi="Arial"/>
                <w:b/>
                <w:sz w:val="14"/>
              </w:rPr>
              <w:t>Darkened motion picture the</w:t>
            </w:r>
            <w:r w:rsidRPr="007667C7">
              <w:rPr>
                <w:rFonts w:ascii="Arial" w:hAnsi="Arial"/>
                <w:sz w:val="14"/>
              </w:rPr>
              <w:softHyphen/>
            </w:r>
            <w:r w:rsidRPr="007667C7">
              <w:rPr>
                <w:rFonts w:ascii="Arial" w:hAnsi="Arial"/>
                <w:b/>
                <w:sz w:val="14"/>
              </w:rPr>
              <w:t>ater</w:t>
            </w:r>
          </w:p>
          <w:p w14:paraId="0D14026C" w14:textId="77777777" w:rsidR="00DC54EA" w:rsidRPr="007667C7" w:rsidRDefault="00DC54EA">
            <w:pPr>
              <w:ind w:left="360" w:right="80" w:hanging="180"/>
              <w:jc w:val="both"/>
              <w:rPr>
                <w:rFonts w:ascii="Arial" w:hAnsi="Arial"/>
                <w:sz w:val="14"/>
              </w:rPr>
            </w:pPr>
            <w:r w:rsidRPr="007667C7">
              <w:rPr>
                <w:rFonts w:ascii="Arial" w:hAnsi="Arial"/>
                <w:sz w:val="14"/>
              </w:rPr>
              <w:t>Ky.—Columbia Amusement Co. v. Rye, 155 S.W.2d 727, 288 Ky. 179.</w:t>
            </w:r>
          </w:p>
          <w:p w14:paraId="53AD9524" w14:textId="77777777" w:rsidR="00DC54EA" w:rsidRPr="007667C7" w:rsidRDefault="00DC54EA">
            <w:pPr>
              <w:ind w:left="360" w:right="80" w:hanging="180"/>
              <w:jc w:val="both"/>
              <w:rPr>
                <w:rFonts w:ascii="Arial" w:hAnsi="Arial"/>
                <w:sz w:val="14"/>
              </w:rPr>
            </w:pPr>
            <w:r w:rsidRPr="007667C7">
              <w:rPr>
                <w:rFonts w:ascii="Arial" w:hAnsi="Arial"/>
                <w:sz w:val="14"/>
              </w:rPr>
              <w:t xml:space="preserve">N.J.—Falk v. Stanley Fabian Corporation of Delaware, 178 A. 740, 115 </w:t>
            </w:r>
            <w:proofErr w:type="spellStart"/>
            <w:r w:rsidRPr="007667C7">
              <w:rPr>
                <w:rFonts w:ascii="Arial" w:hAnsi="Arial"/>
                <w:sz w:val="14"/>
              </w:rPr>
              <w:t>N.J.Law</w:t>
            </w:r>
            <w:proofErr w:type="spellEnd"/>
            <w:r w:rsidRPr="007667C7">
              <w:rPr>
                <w:rFonts w:ascii="Arial" w:hAnsi="Arial"/>
                <w:sz w:val="14"/>
              </w:rPr>
              <w:t xml:space="preserve"> 141.</w:t>
            </w:r>
          </w:p>
          <w:p w14:paraId="453F70DA" w14:textId="77777777" w:rsidR="00DC54EA" w:rsidRPr="007667C7" w:rsidRDefault="00DC54EA">
            <w:pPr>
              <w:ind w:left="360" w:right="80" w:hanging="180"/>
              <w:jc w:val="both"/>
              <w:rPr>
                <w:rFonts w:ascii="Arial" w:hAnsi="Arial"/>
                <w:sz w:val="14"/>
              </w:rPr>
            </w:pPr>
            <w:r w:rsidRPr="007667C7">
              <w:rPr>
                <w:rFonts w:ascii="Arial" w:hAnsi="Arial"/>
                <w:sz w:val="14"/>
              </w:rPr>
              <w:t xml:space="preserve">Tenn.—Smith v. Crescent Amusement Co., 184 S.W.2d 179, 27 </w:t>
            </w:r>
            <w:proofErr w:type="spellStart"/>
            <w:r w:rsidRPr="007667C7">
              <w:rPr>
                <w:rFonts w:ascii="Arial" w:hAnsi="Arial"/>
                <w:sz w:val="14"/>
              </w:rPr>
              <w:t>Tenn.App</w:t>
            </w:r>
            <w:proofErr w:type="spellEnd"/>
            <w:r w:rsidRPr="007667C7">
              <w:rPr>
                <w:rFonts w:ascii="Arial" w:hAnsi="Arial"/>
                <w:sz w:val="14"/>
              </w:rPr>
              <w:t>. 632.</w:t>
            </w:r>
          </w:p>
          <w:p w14:paraId="7FE5D6AC" w14:textId="77777777" w:rsidR="00DC54EA" w:rsidRPr="007667C7" w:rsidRDefault="00DC54EA">
            <w:pPr>
              <w:ind w:left="360" w:right="80" w:hanging="180"/>
              <w:jc w:val="both"/>
              <w:rPr>
                <w:rFonts w:ascii="Arial" w:hAnsi="Arial"/>
                <w:sz w:val="14"/>
              </w:rPr>
            </w:pPr>
            <w:r w:rsidRPr="007667C7">
              <w:rPr>
                <w:rFonts w:ascii="Arial" w:hAnsi="Arial"/>
                <w:b/>
                <w:sz w:val="14"/>
              </w:rPr>
              <w:t>5.</w:t>
            </w:r>
            <w:r w:rsidRPr="007667C7">
              <w:rPr>
                <w:rFonts w:ascii="Arial" w:hAnsi="Arial"/>
                <w:sz w:val="14"/>
              </w:rPr>
              <w:t xml:space="preserve">   Cal.—Chardon v. Alameda Park Co., 36 P.2d 136, 1 Cal.App.2d 18.</w:t>
            </w:r>
          </w:p>
          <w:p w14:paraId="2F698104" w14:textId="77777777" w:rsidR="00DC54EA" w:rsidRPr="007667C7" w:rsidRDefault="00DC54EA">
            <w:pPr>
              <w:ind w:left="360" w:right="80" w:hanging="180"/>
              <w:jc w:val="both"/>
              <w:rPr>
                <w:rFonts w:ascii="Arial" w:hAnsi="Arial"/>
                <w:sz w:val="14"/>
              </w:rPr>
            </w:pPr>
            <w:r w:rsidRPr="007667C7">
              <w:rPr>
                <w:rFonts w:ascii="Arial" w:hAnsi="Arial"/>
                <w:sz w:val="14"/>
              </w:rPr>
              <w:t>Fla.—Payne v. City of Clearwater, 19 So.2d 406, 155 Fla. 9.</w:t>
            </w:r>
          </w:p>
          <w:p w14:paraId="7D874C18" w14:textId="77777777" w:rsidR="00DC54EA" w:rsidRPr="007667C7" w:rsidRDefault="00DC54EA">
            <w:pPr>
              <w:ind w:left="360" w:right="80" w:hanging="180"/>
              <w:jc w:val="both"/>
              <w:rPr>
                <w:rFonts w:ascii="Arial" w:hAnsi="Arial"/>
                <w:sz w:val="14"/>
              </w:rPr>
            </w:pPr>
            <w:r w:rsidRPr="007667C7">
              <w:rPr>
                <w:rFonts w:ascii="Arial" w:hAnsi="Arial"/>
                <w:sz w:val="14"/>
              </w:rPr>
              <w:t>Mass.—Beaulieu v. Lincoln Rides, Inc., 104 N.E.2d 417, 328 Mass. 427.</w:t>
            </w:r>
          </w:p>
          <w:p w14:paraId="4A7F2629" w14:textId="77777777" w:rsidR="00DC54EA" w:rsidRPr="007667C7" w:rsidRDefault="00DC54EA">
            <w:pPr>
              <w:ind w:left="360" w:right="80" w:hanging="180"/>
              <w:jc w:val="both"/>
              <w:rPr>
                <w:rFonts w:ascii="Arial" w:hAnsi="Arial"/>
                <w:sz w:val="14"/>
              </w:rPr>
            </w:pPr>
            <w:r w:rsidRPr="007667C7">
              <w:rPr>
                <w:rFonts w:ascii="Arial" w:hAnsi="Arial"/>
                <w:sz w:val="14"/>
              </w:rPr>
              <w:t>Miss.—Blizzard v. Fitzsimmons, 10 So.2d 343, 193 Miss. 484.</w:t>
            </w:r>
          </w:p>
          <w:p w14:paraId="0AE7CD09" w14:textId="77777777" w:rsidR="00DC54EA" w:rsidRPr="007667C7" w:rsidRDefault="00DC54EA">
            <w:pPr>
              <w:ind w:left="360" w:right="80" w:hanging="180"/>
              <w:jc w:val="both"/>
              <w:rPr>
                <w:rFonts w:ascii="Arial" w:hAnsi="Arial"/>
                <w:sz w:val="14"/>
              </w:rPr>
            </w:pPr>
            <w:r w:rsidRPr="007667C7">
              <w:rPr>
                <w:rFonts w:ascii="Arial" w:hAnsi="Arial"/>
                <w:sz w:val="14"/>
              </w:rPr>
              <w:t>Mo.—</w:t>
            </w:r>
            <w:proofErr w:type="spellStart"/>
            <w:r w:rsidRPr="007667C7">
              <w:rPr>
                <w:rFonts w:ascii="Arial" w:hAnsi="Arial"/>
                <w:sz w:val="14"/>
              </w:rPr>
              <w:t>Toroian</w:t>
            </w:r>
            <w:proofErr w:type="spellEnd"/>
            <w:r w:rsidRPr="007667C7">
              <w:rPr>
                <w:rFonts w:ascii="Arial" w:hAnsi="Arial"/>
                <w:sz w:val="14"/>
              </w:rPr>
              <w:t xml:space="preserve"> v. Parkview Amusement Co., 56 S.W.2d 134, 331 Mo. 700.</w:t>
            </w:r>
          </w:p>
          <w:p w14:paraId="79B19973" w14:textId="77777777" w:rsidR="00DC54EA" w:rsidRPr="007667C7" w:rsidRDefault="00DC54EA">
            <w:pPr>
              <w:ind w:left="360" w:right="80" w:hanging="180"/>
              <w:jc w:val="both"/>
              <w:rPr>
                <w:rFonts w:ascii="Arial" w:hAnsi="Arial"/>
                <w:sz w:val="14"/>
              </w:rPr>
            </w:pPr>
            <w:r w:rsidRPr="007667C7">
              <w:rPr>
                <w:rFonts w:ascii="Arial" w:hAnsi="Arial"/>
                <w:sz w:val="14"/>
              </w:rPr>
              <w:t>Ohio</w:t>
            </w:r>
            <w:proofErr w:type="gramStart"/>
            <w:r w:rsidRPr="007667C7">
              <w:rPr>
                <w:rFonts w:ascii="Arial" w:hAnsi="Arial"/>
                <w:sz w:val="14"/>
              </w:rPr>
              <w:t>.—</w:t>
            </w:r>
            <w:proofErr w:type="gramEnd"/>
            <w:r w:rsidRPr="007667C7">
              <w:rPr>
                <w:rFonts w:ascii="Arial" w:hAnsi="Arial"/>
                <w:sz w:val="14"/>
              </w:rPr>
              <w:t>Pierce v. Gooding Amusement Co., App., 90 N.E.2d 585.</w:t>
            </w:r>
          </w:p>
          <w:p w14:paraId="2D58C00C" w14:textId="77777777" w:rsidR="00DC54EA" w:rsidRPr="007667C7" w:rsidRDefault="00DC54EA">
            <w:pPr>
              <w:ind w:left="360" w:right="80" w:hanging="180"/>
              <w:jc w:val="both"/>
              <w:rPr>
                <w:rFonts w:ascii="Arial" w:hAnsi="Arial"/>
                <w:sz w:val="14"/>
              </w:rPr>
            </w:pPr>
            <w:r w:rsidRPr="007667C7">
              <w:rPr>
                <w:rFonts w:ascii="Arial" w:hAnsi="Arial"/>
                <w:sz w:val="14"/>
              </w:rPr>
              <w:t xml:space="preserve">Tex.—Vance v. </w:t>
            </w:r>
            <w:proofErr w:type="spellStart"/>
            <w:r w:rsidRPr="007667C7">
              <w:rPr>
                <w:rFonts w:ascii="Arial" w:hAnsi="Arial"/>
                <w:sz w:val="14"/>
              </w:rPr>
              <w:t>Obadal</w:t>
            </w:r>
            <w:proofErr w:type="spellEnd"/>
            <w:r w:rsidRPr="007667C7">
              <w:rPr>
                <w:rFonts w:ascii="Arial" w:hAnsi="Arial"/>
                <w:sz w:val="14"/>
              </w:rPr>
              <w:t xml:space="preserve">, </w:t>
            </w:r>
            <w:proofErr w:type="spellStart"/>
            <w:r w:rsidRPr="007667C7">
              <w:rPr>
                <w:rFonts w:ascii="Arial" w:hAnsi="Arial"/>
                <w:sz w:val="14"/>
              </w:rPr>
              <w:t>Civ.App</w:t>
            </w:r>
            <w:proofErr w:type="spellEnd"/>
            <w:proofErr w:type="gramStart"/>
            <w:r w:rsidRPr="007667C7">
              <w:rPr>
                <w:rFonts w:ascii="Arial" w:hAnsi="Arial"/>
                <w:sz w:val="14"/>
              </w:rPr>
              <w:t>.,</w:t>
            </w:r>
            <w:proofErr w:type="gramEnd"/>
            <w:r w:rsidRPr="007667C7">
              <w:rPr>
                <w:rFonts w:ascii="Arial" w:hAnsi="Arial"/>
                <w:sz w:val="14"/>
              </w:rPr>
              <w:t xml:space="preserve"> 256 S.W.2d 139.</w:t>
            </w:r>
          </w:p>
          <w:p w14:paraId="40CC5C29" w14:textId="77777777" w:rsidR="00DC54EA" w:rsidRPr="007667C7" w:rsidRDefault="00DC54EA">
            <w:pPr>
              <w:ind w:left="360" w:right="80" w:hanging="180"/>
              <w:jc w:val="both"/>
              <w:rPr>
                <w:rFonts w:ascii="Arial" w:hAnsi="Arial"/>
                <w:sz w:val="14"/>
              </w:rPr>
            </w:pPr>
            <w:r w:rsidRPr="007667C7">
              <w:rPr>
                <w:rFonts w:ascii="Arial" w:hAnsi="Arial"/>
                <w:sz w:val="14"/>
              </w:rPr>
              <w:t>62 C.J. p 877 note 63</w:t>
            </w:r>
          </w:p>
          <w:p w14:paraId="23F60492" w14:textId="77777777" w:rsidR="00DC54EA" w:rsidRPr="007667C7" w:rsidRDefault="00DC54EA">
            <w:pPr>
              <w:ind w:left="360" w:right="80" w:hanging="180"/>
              <w:jc w:val="both"/>
              <w:rPr>
                <w:rFonts w:ascii="Arial" w:hAnsi="Arial"/>
                <w:b/>
                <w:sz w:val="14"/>
              </w:rPr>
            </w:pPr>
            <w:r w:rsidRPr="007667C7">
              <w:rPr>
                <w:rFonts w:ascii="Arial" w:hAnsi="Arial"/>
                <w:b/>
                <w:sz w:val="14"/>
              </w:rPr>
              <w:t>Particular amusement devices</w:t>
            </w:r>
          </w:p>
          <w:p w14:paraId="301A1780" w14:textId="77777777" w:rsidR="00DC54EA" w:rsidRPr="007667C7" w:rsidRDefault="00DC54EA">
            <w:pPr>
              <w:ind w:left="180" w:right="80"/>
              <w:jc w:val="both"/>
              <w:rPr>
                <w:rFonts w:ascii="Arial" w:hAnsi="Arial"/>
                <w:sz w:val="14"/>
              </w:rPr>
            </w:pPr>
            <w:r w:rsidRPr="007667C7">
              <w:rPr>
                <w:rFonts w:ascii="Arial" w:hAnsi="Arial"/>
                <w:sz w:val="14"/>
              </w:rPr>
              <w:t xml:space="preserve">    (1) “Dodge </w:t>
            </w:r>
            <w:proofErr w:type="spellStart"/>
            <w:r w:rsidRPr="007667C7">
              <w:rPr>
                <w:rFonts w:ascii="Arial" w:hAnsi="Arial"/>
                <w:sz w:val="14"/>
              </w:rPr>
              <w:t>Em</w:t>
            </w:r>
            <w:proofErr w:type="spellEnd"/>
            <w:r w:rsidRPr="007667C7">
              <w:rPr>
                <w:rFonts w:ascii="Arial" w:hAnsi="Arial"/>
                <w:sz w:val="14"/>
              </w:rPr>
              <w:t>” cars</w:t>
            </w:r>
            <w:proofErr w:type="gramStart"/>
            <w:r w:rsidRPr="007667C7">
              <w:rPr>
                <w:rFonts w:ascii="Arial" w:hAnsi="Arial"/>
                <w:sz w:val="14"/>
              </w:rPr>
              <w:t>.—</w:t>
            </w:r>
            <w:proofErr w:type="gramEnd"/>
            <w:r w:rsidRPr="007667C7">
              <w:rPr>
                <w:rFonts w:ascii="Arial" w:hAnsi="Arial"/>
                <w:sz w:val="14"/>
              </w:rPr>
              <w:t xml:space="preserve">Connolly v. Palisades Realty &amp; Amusement Co., 168 A. 419, 11 </w:t>
            </w:r>
            <w:proofErr w:type="spellStart"/>
            <w:r w:rsidRPr="007667C7">
              <w:rPr>
                <w:rFonts w:ascii="Arial" w:hAnsi="Arial"/>
                <w:sz w:val="14"/>
              </w:rPr>
              <w:t>N.J.Misc</w:t>
            </w:r>
            <w:proofErr w:type="spellEnd"/>
            <w:r w:rsidRPr="007667C7">
              <w:rPr>
                <w:rFonts w:ascii="Arial" w:hAnsi="Arial"/>
                <w:sz w:val="14"/>
              </w:rPr>
              <w:t xml:space="preserve">. 841, affirmed 171 A. 795, 112 </w:t>
            </w:r>
            <w:proofErr w:type="spellStart"/>
            <w:r w:rsidRPr="007667C7">
              <w:rPr>
                <w:rFonts w:ascii="Arial" w:hAnsi="Arial"/>
                <w:sz w:val="14"/>
              </w:rPr>
              <w:t>N.J.Law</w:t>
            </w:r>
            <w:proofErr w:type="spellEnd"/>
            <w:r w:rsidRPr="007667C7">
              <w:rPr>
                <w:rFonts w:ascii="Arial" w:hAnsi="Arial"/>
                <w:sz w:val="14"/>
              </w:rPr>
              <w:t xml:space="preserve"> 502—Frazier v. Palisades Realty &amp; Amusement Co., 168 A. 419, 11 </w:t>
            </w:r>
            <w:proofErr w:type="spellStart"/>
            <w:r w:rsidRPr="007667C7">
              <w:rPr>
                <w:rFonts w:ascii="Arial" w:hAnsi="Arial"/>
                <w:sz w:val="14"/>
              </w:rPr>
              <w:t>N.J.Misc</w:t>
            </w:r>
            <w:proofErr w:type="spellEnd"/>
            <w:r w:rsidRPr="007667C7">
              <w:rPr>
                <w:rFonts w:ascii="Arial" w:hAnsi="Arial"/>
                <w:sz w:val="14"/>
              </w:rPr>
              <w:t xml:space="preserve">. 841, affirmed 171 A. 795, 112 </w:t>
            </w:r>
            <w:proofErr w:type="spellStart"/>
            <w:r w:rsidRPr="007667C7">
              <w:rPr>
                <w:rFonts w:ascii="Arial" w:hAnsi="Arial"/>
                <w:sz w:val="14"/>
              </w:rPr>
              <w:t>N.J.Law</w:t>
            </w:r>
            <w:proofErr w:type="spellEnd"/>
            <w:r w:rsidRPr="007667C7">
              <w:rPr>
                <w:rFonts w:ascii="Arial" w:hAnsi="Arial"/>
                <w:sz w:val="14"/>
              </w:rPr>
              <w:t xml:space="preserve"> 502—62 C.J. p 877 </w:t>
            </w:r>
            <w:proofErr w:type="gramStart"/>
            <w:r w:rsidRPr="007667C7">
              <w:rPr>
                <w:rFonts w:ascii="Arial" w:hAnsi="Arial"/>
                <w:sz w:val="14"/>
              </w:rPr>
              <w:t>note</w:t>
            </w:r>
            <w:proofErr w:type="gramEnd"/>
            <w:r w:rsidRPr="007667C7">
              <w:rPr>
                <w:rFonts w:ascii="Arial" w:hAnsi="Arial"/>
                <w:sz w:val="14"/>
              </w:rPr>
              <w:t xml:space="preserve"> 63 [b].</w:t>
            </w:r>
          </w:p>
          <w:p w14:paraId="740467C2" w14:textId="77777777" w:rsidR="00DC54EA" w:rsidRPr="007667C7" w:rsidRDefault="00DC54EA">
            <w:pPr>
              <w:ind w:left="180" w:right="80"/>
              <w:jc w:val="both"/>
              <w:rPr>
                <w:rFonts w:ascii="Arial" w:hAnsi="Arial"/>
                <w:sz w:val="14"/>
              </w:rPr>
            </w:pPr>
            <w:r w:rsidRPr="007667C7">
              <w:rPr>
                <w:rFonts w:ascii="Arial" w:hAnsi="Arial"/>
                <w:sz w:val="14"/>
              </w:rPr>
              <w:t xml:space="preserve">   (2</w:t>
            </w:r>
            <w:proofErr w:type="gramStart"/>
            <w:r w:rsidRPr="007667C7">
              <w:rPr>
                <w:rFonts w:ascii="Arial" w:hAnsi="Arial"/>
                <w:sz w:val="14"/>
              </w:rPr>
              <w:t>)   Loop</w:t>
            </w:r>
            <w:proofErr w:type="gramEnd"/>
            <w:r w:rsidRPr="007667C7">
              <w:rPr>
                <w:rFonts w:ascii="Arial" w:hAnsi="Arial"/>
                <w:sz w:val="14"/>
              </w:rPr>
              <w:t xml:space="preserve"> the loop.—Kemp v. Coney Island, Ohio App., 31 N.E.2d 93.</w:t>
            </w:r>
          </w:p>
          <w:p w14:paraId="680D6AA5" w14:textId="77777777" w:rsidR="00DC54EA" w:rsidRPr="007667C7" w:rsidRDefault="00DC54EA">
            <w:pPr>
              <w:ind w:left="180" w:right="80"/>
              <w:jc w:val="both"/>
              <w:rPr>
                <w:rFonts w:ascii="Arial" w:hAnsi="Arial"/>
                <w:sz w:val="14"/>
              </w:rPr>
            </w:pPr>
            <w:r w:rsidRPr="007667C7">
              <w:rPr>
                <w:rFonts w:ascii="Arial" w:hAnsi="Arial"/>
                <w:sz w:val="14"/>
              </w:rPr>
              <w:t xml:space="preserve">   (3) Roller coaster</w:t>
            </w:r>
            <w:proofErr w:type="gramStart"/>
            <w:r w:rsidRPr="007667C7">
              <w:rPr>
                <w:rFonts w:ascii="Arial" w:hAnsi="Arial"/>
                <w:sz w:val="14"/>
              </w:rPr>
              <w:t>.—</w:t>
            </w:r>
            <w:proofErr w:type="gramEnd"/>
            <w:r w:rsidRPr="007667C7">
              <w:rPr>
                <w:rFonts w:ascii="Arial" w:hAnsi="Arial"/>
                <w:sz w:val="14"/>
              </w:rPr>
              <w:t>Wray v. Fair-</w:t>
            </w:r>
            <w:proofErr w:type="spellStart"/>
            <w:r w:rsidRPr="007667C7">
              <w:rPr>
                <w:rFonts w:ascii="Arial" w:hAnsi="Arial"/>
                <w:sz w:val="14"/>
              </w:rPr>
              <w:t>ield</w:t>
            </w:r>
            <w:proofErr w:type="spellEnd"/>
            <w:r w:rsidRPr="007667C7">
              <w:rPr>
                <w:rFonts w:ascii="Arial" w:hAnsi="Arial"/>
                <w:sz w:val="14"/>
              </w:rPr>
              <w:t xml:space="preserve"> Amusement Co., 10 A.2d 600, 126 Conn. 221—62 C.J. p 877 note 63 [e].</w:t>
            </w:r>
          </w:p>
          <w:p w14:paraId="65C12ECE" w14:textId="77777777" w:rsidR="00DC54EA" w:rsidRPr="007667C7" w:rsidRDefault="00DC54EA">
            <w:pPr>
              <w:ind w:left="360" w:right="80" w:hanging="180"/>
              <w:jc w:val="both"/>
              <w:rPr>
                <w:rFonts w:ascii="Arial" w:hAnsi="Arial"/>
                <w:sz w:val="14"/>
              </w:rPr>
            </w:pPr>
            <w:r w:rsidRPr="007667C7">
              <w:rPr>
                <w:rFonts w:ascii="Arial" w:hAnsi="Arial"/>
                <w:b/>
                <w:sz w:val="14"/>
              </w:rPr>
              <w:t>6.</w:t>
            </w:r>
            <w:r w:rsidRPr="007667C7">
              <w:rPr>
                <w:rFonts w:ascii="Arial" w:hAnsi="Arial"/>
                <w:sz w:val="14"/>
              </w:rPr>
              <w:t xml:space="preserve">   Miss.—Blizzard v. Fitzsimmons, 10 So.2d 343, 193 Miss. 484.</w:t>
            </w:r>
          </w:p>
          <w:p w14:paraId="3F2D8022" w14:textId="77FB2F1A" w:rsidR="00DC54EA" w:rsidRPr="007667C7" w:rsidRDefault="00134C12">
            <w:pPr>
              <w:ind w:left="360" w:right="80" w:hanging="180"/>
              <w:jc w:val="both"/>
              <w:rPr>
                <w:rFonts w:ascii="Arial" w:hAnsi="Arial"/>
                <w:sz w:val="14"/>
              </w:rPr>
            </w:pPr>
            <w:r>
              <w:rPr>
                <w:rFonts w:ascii="Arial" w:hAnsi="Arial"/>
                <w:sz w:val="14"/>
              </w:rPr>
              <w:t xml:space="preserve">Mo.—Page v. </w:t>
            </w:r>
            <w:proofErr w:type="spellStart"/>
            <w:r>
              <w:rPr>
                <w:rFonts w:ascii="Arial" w:hAnsi="Arial"/>
                <w:sz w:val="14"/>
              </w:rPr>
              <w:t>Unterreiner</w:t>
            </w:r>
            <w:proofErr w:type="spellEnd"/>
            <w:r>
              <w:rPr>
                <w:rFonts w:ascii="Arial" w:hAnsi="Arial"/>
                <w:sz w:val="14"/>
              </w:rPr>
              <w:t>, App.</w:t>
            </w:r>
            <w:proofErr w:type="gramStart"/>
            <w:r>
              <w:rPr>
                <w:rFonts w:ascii="Arial" w:hAnsi="Arial"/>
                <w:sz w:val="14"/>
              </w:rPr>
              <w:t>,</w:t>
            </w:r>
            <w:r w:rsidR="00DC54EA" w:rsidRPr="007667C7">
              <w:rPr>
                <w:rFonts w:ascii="Arial" w:hAnsi="Arial"/>
                <w:sz w:val="14"/>
              </w:rPr>
              <w:t>106</w:t>
            </w:r>
            <w:proofErr w:type="gramEnd"/>
            <w:r w:rsidR="00DC54EA" w:rsidRPr="007667C7">
              <w:rPr>
                <w:rFonts w:ascii="Arial" w:hAnsi="Arial"/>
                <w:sz w:val="14"/>
              </w:rPr>
              <w:t xml:space="preserve"> S.W.2d 528.</w:t>
            </w:r>
          </w:p>
          <w:p w14:paraId="4F997663" w14:textId="77777777" w:rsidR="00DC54EA" w:rsidRPr="007667C7" w:rsidRDefault="00DC54EA">
            <w:pPr>
              <w:ind w:left="360" w:right="80" w:hanging="180"/>
              <w:jc w:val="both"/>
              <w:rPr>
                <w:rFonts w:ascii="Arial" w:hAnsi="Arial"/>
                <w:sz w:val="14"/>
              </w:rPr>
            </w:pPr>
            <w:r w:rsidRPr="007667C7">
              <w:rPr>
                <w:rFonts w:ascii="Arial" w:hAnsi="Arial"/>
                <w:sz w:val="14"/>
              </w:rPr>
              <w:t xml:space="preserve">N.J.—Griffin v. De </w:t>
            </w:r>
            <w:proofErr w:type="spellStart"/>
            <w:r w:rsidRPr="007667C7">
              <w:rPr>
                <w:rFonts w:ascii="Arial" w:hAnsi="Arial"/>
                <w:sz w:val="14"/>
              </w:rPr>
              <w:t>Geeter</w:t>
            </w:r>
            <w:proofErr w:type="spellEnd"/>
            <w:r w:rsidRPr="007667C7">
              <w:rPr>
                <w:rFonts w:ascii="Arial" w:hAnsi="Arial"/>
                <w:sz w:val="14"/>
              </w:rPr>
              <w:t xml:space="preserve">, 40 A.2d 579, 132 </w:t>
            </w:r>
            <w:proofErr w:type="spellStart"/>
            <w:r w:rsidRPr="007667C7">
              <w:rPr>
                <w:rFonts w:ascii="Arial" w:hAnsi="Arial"/>
                <w:sz w:val="14"/>
              </w:rPr>
              <w:t>N.J.Law</w:t>
            </w:r>
            <w:proofErr w:type="spellEnd"/>
            <w:r w:rsidRPr="007667C7">
              <w:rPr>
                <w:rFonts w:ascii="Arial" w:hAnsi="Arial"/>
                <w:sz w:val="14"/>
              </w:rPr>
              <w:t xml:space="preserve"> 381—Thurber v. Skouras Theatres Corporation, 170 A. 863, 112 </w:t>
            </w:r>
            <w:proofErr w:type="spellStart"/>
            <w:r w:rsidRPr="007667C7">
              <w:rPr>
                <w:rFonts w:ascii="Arial" w:hAnsi="Arial"/>
                <w:sz w:val="14"/>
              </w:rPr>
              <w:t>N.J.Law</w:t>
            </w:r>
            <w:proofErr w:type="spellEnd"/>
            <w:r w:rsidRPr="007667C7">
              <w:rPr>
                <w:rFonts w:ascii="Arial" w:hAnsi="Arial"/>
                <w:sz w:val="14"/>
              </w:rPr>
              <w:t xml:space="preserve"> 385.</w:t>
            </w:r>
          </w:p>
          <w:p w14:paraId="4D5F8C3B" w14:textId="77777777" w:rsidR="00DC54EA" w:rsidRPr="009A13E9" w:rsidRDefault="00DC54EA">
            <w:pPr>
              <w:ind w:left="360" w:right="80" w:hanging="180"/>
              <w:jc w:val="both"/>
              <w:rPr>
                <w:rFonts w:ascii="New Century Schlbk" w:hAnsi="New Century Schlbk"/>
                <w:sz w:val="14"/>
              </w:rPr>
            </w:pPr>
            <w:r w:rsidRPr="007667C7">
              <w:rPr>
                <w:rFonts w:ascii="Arial" w:hAnsi="Arial"/>
                <w:sz w:val="14"/>
              </w:rPr>
              <w:t>N.Y.—Levy v. Cascades Operating Corpora-</w:t>
            </w:r>
            <w:proofErr w:type="spellStart"/>
            <w:r w:rsidRPr="007667C7">
              <w:rPr>
                <w:rFonts w:ascii="Arial" w:hAnsi="Arial"/>
                <w:sz w:val="14"/>
              </w:rPr>
              <w:t>tion</w:t>
            </w:r>
            <w:proofErr w:type="spellEnd"/>
            <w:r w:rsidRPr="007667C7">
              <w:rPr>
                <w:rFonts w:ascii="Arial" w:hAnsi="Arial"/>
                <w:sz w:val="14"/>
              </w:rPr>
              <w:t xml:space="preserve">, 32 N.Y.S.2d 341, 263 </w:t>
            </w:r>
            <w:proofErr w:type="spellStart"/>
            <w:r w:rsidRPr="007667C7">
              <w:rPr>
                <w:rFonts w:ascii="Arial" w:hAnsi="Arial"/>
                <w:sz w:val="14"/>
              </w:rPr>
              <w:t>App.Div</w:t>
            </w:r>
            <w:proofErr w:type="spellEnd"/>
            <w:r w:rsidRPr="007667C7">
              <w:rPr>
                <w:rFonts w:ascii="Arial" w:hAnsi="Arial"/>
                <w:sz w:val="14"/>
              </w:rPr>
              <w:t>. 882 —</w:t>
            </w:r>
            <w:proofErr w:type="spellStart"/>
            <w:r w:rsidRPr="007667C7">
              <w:rPr>
                <w:rFonts w:ascii="Arial" w:hAnsi="Arial"/>
                <w:sz w:val="14"/>
              </w:rPr>
              <w:t>Saari</w:t>
            </w:r>
            <w:proofErr w:type="spellEnd"/>
            <w:r w:rsidRPr="007667C7">
              <w:rPr>
                <w:rFonts w:ascii="Arial" w:hAnsi="Arial"/>
                <w:sz w:val="14"/>
              </w:rPr>
              <w:t xml:space="preserve"> v. State, 119 N.Y.S.2d 507, 203 Misc. 859—Schmidt v. State, 100 </w:t>
            </w:r>
            <w:proofErr w:type="gramStart"/>
            <w:r w:rsidRPr="007667C7">
              <w:rPr>
                <w:rFonts w:ascii="Arial" w:hAnsi="Arial"/>
                <w:sz w:val="14"/>
              </w:rPr>
              <w:t>N.Y.S.2d  504</w:t>
            </w:r>
            <w:proofErr w:type="gramEnd"/>
            <w:r w:rsidRPr="007667C7">
              <w:rPr>
                <w:rFonts w:ascii="Arial" w:hAnsi="Arial"/>
                <w:sz w:val="14"/>
              </w:rPr>
              <w:t>, 198 Misc. 802.</w:t>
            </w:r>
          </w:p>
        </w:tc>
        <w:tc>
          <w:tcPr>
            <w:tcW w:w="3480" w:type="dxa"/>
            <w:gridSpan w:val="2"/>
            <w:tcBorders>
              <w:right w:val="single" w:sz="6" w:space="0" w:color="auto"/>
            </w:tcBorders>
          </w:tcPr>
          <w:p w14:paraId="65938C39" w14:textId="77777777" w:rsidR="00DC54EA" w:rsidRPr="007667C7" w:rsidRDefault="00DC54EA">
            <w:pPr>
              <w:ind w:left="180" w:right="80" w:hanging="180"/>
              <w:jc w:val="both"/>
              <w:rPr>
                <w:rFonts w:ascii="Arial" w:hAnsi="Arial"/>
                <w:sz w:val="14"/>
              </w:rPr>
            </w:pPr>
            <w:r w:rsidRPr="007667C7">
              <w:rPr>
                <w:rFonts w:ascii="Arial" w:hAnsi="Arial"/>
                <w:sz w:val="14"/>
              </w:rPr>
              <w:t>Vt.—</w:t>
            </w:r>
            <w:proofErr w:type="spellStart"/>
            <w:r w:rsidRPr="007667C7">
              <w:rPr>
                <w:rFonts w:ascii="Arial" w:hAnsi="Arial"/>
                <w:sz w:val="14"/>
              </w:rPr>
              <w:t>Dusckiewicz</w:t>
            </w:r>
            <w:proofErr w:type="spellEnd"/>
            <w:r w:rsidRPr="007667C7">
              <w:rPr>
                <w:rFonts w:ascii="Arial" w:hAnsi="Arial"/>
                <w:sz w:val="14"/>
              </w:rPr>
              <w:t xml:space="preserve"> v. Carter, 52 A.2d 788, 115 Vt. 122.</w:t>
            </w:r>
          </w:p>
          <w:p w14:paraId="687749E9" w14:textId="77777777" w:rsidR="00DC54EA" w:rsidRPr="007667C7" w:rsidRDefault="00DC54EA">
            <w:pPr>
              <w:ind w:right="80"/>
              <w:jc w:val="both"/>
              <w:rPr>
                <w:rFonts w:ascii="Arial" w:hAnsi="Arial"/>
                <w:sz w:val="14"/>
              </w:rPr>
            </w:pPr>
            <w:r w:rsidRPr="007667C7">
              <w:rPr>
                <w:rFonts w:ascii="Arial" w:hAnsi="Arial"/>
                <w:sz w:val="14"/>
              </w:rPr>
              <w:t xml:space="preserve">62 C.J. p 877 </w:t>
            </w:r>
            <w:proofErr w:type="gramStart"/>
            <w:r w:rsidRPr="007667C7">
              <w:rPr>
                <w:rFonts w:ascii="Arial" w:hAnsi="Arial"/>
                <w:sz w:val="14"/>
              </w:rPr>
              <w:t>note</w:t>
            </w:r>
            <w:proofErr w:type="gramEnd"/>
            <w:r w:rsidRPr="007667C7">
              <w:rPr>
                <w:rFonts w:ascii="Arial" w:hAnsi="Arial"/>
                <w:sz w:val="14"/>
              </w:rPr>
              <w:t xml:space="preserve"> 63.</w:t>
            </w:r>
          </w:p>
          <w:p w14:paraId="435B5C5E" w14:textId="77777777" w:rsidR="00DC54EA" w:rsidRPr="007667C7" w:rsidRDefault="00DC54EA">
            <w:pPr>
              <w:ind w:right="80"/>
              <w:jc w:val="both"/>
              <w:rPr>
                <w:rFonts w:ascii="Arial" w:hAnsi="Arial"/>
                <w:sz w:val="8"/>
              </w:rPr>
            </w:pPr>
          </w:p>
          <w:p w14:paraId="22F34B21" w14:textId="77777777" w:rsidR="00DC54EA" w:rsidRPr="007667C7" w:rsidRDefault="00DC54EA">
            <w:pPr>
              <w:ind w:right="80"/>
              <w:jc w:val="both"/>
              <w:rPr>
                <w:rFonts w:ascii="Arial" w:hAnsi="Arial"/>
                <w:b/>
                <w:sz w:val="14"/>
              </w:rPr>
            </w:pPr>
            <w:r w:rsidRPr="007667C7">
              <w:rPr>
                <w:rFonts w:ascii="Arial" w:hAnsi="Arial"/>
                <w:b/>
                <w:sz w:val="14"/>
              </w:rPr>
              <w:t>Other statements of rule</w:t>
            </w:r>
          </w:p>
          <w:p w14:paraId="6A9607AE" w14:textId="77777777" w:rsidR="00DC54EA" w:rsidRPr="007667C7" w:rsidRDefault="00DC54EA">
            <w:pPr>
              <w:ind w:right="80"/>
              <w:jc w:val="both"/>
              <w:rPr>
                <w:rFonts w:ascii="Arial" w:hAnsi="Arial"/>
                <w:sz w:val="14"/>
              </w:rPr>
            </w:pPr>
            <w:r w:rsidRPr="007667C7">
              <w:rPr>
                <w:rFonts w:ascii="Arial" w:hAnsi="Arial"/>
                <w:sz w:val="14"/>
              </w:rPr>
              <w:t xml:space="preserve">   (1</w:t>
            </w:r>
            <w:proofErr w:type="gramStart"/>
            <w:r w:rsidRPr="007667C7">
              <w:rPr>
                <w:rFonts w:ascii="Arial" w:hAnsi="Arial"/>
                <w:sz w:val="14"/>
              </w:rPr>
              <w:t>)   A</w:t>
            </w:r>
            <w:proofErr w:type="gramEnd"/>
            <w:r w:rsidRPr="007667C7">
              <w:rPr>
                <w:rFonts w:ascii="Arial" w:hAnsi="Arial"/>
                <w:sz w:val="14"/>
              </w:rPr>
              <w:t xml:space="preserve"> spectator at game as</w:t>
            </w:r>
            <w:r w:rsidRPr="007667C7">
              <w:rPr>
                <w:rFonts w:ascii="Arial" w:hAnsi="Arial"/>
                <w:sz w:val="14"/>
              </w:rPr>
              <w:softHyphen/>
              <w:t>sumes risk of such dangers inci</w:t>
            </w:r>
            <w:r w:rsidRPr="007667C7">
              <w:rPr>
                <w:rFonts w:ascii="Arial" w:hAnsi="Arial"/>
                <w:sz w:val="14"/>
              </w:rPr>
              <w:softHyphen/>
              <w:t>dent to playing of game as are known to him or should be obvi</w:t>
            </w:r>
            <w:r w:rsidRPr="007667C7">
              <w:rPr>
                <w:rFonts w:ascii="Arial" w:hAnsi="Arial"/>
                <w:sz w:val="14"/>
              </w:rPr>
              <w:softHyphen/>
              <w:t>ous to reasonable and pru</w:t>
            </w:r>
            <w:r w:rsidRPr="007667C7">
              <w:rPr>
                <w:rFonts w:ascii="Arial" w:hAnsi="Arial"/>
                <w:sz w:val="14"/>
              </w:rPr>
              <w:softHyphen/>
              <w:t>dent person in exercise of due care un</w:t>
            </w:r>
            <w:r w:rsidRPr="007667C7">
              <w:rPr>
                <w:rFonts w:ascii="Arial" w:hAnsi="Arial"/>
                <w:sz w:val="14"/>
              </w:rPr>
              <w:softHyphen/>
              <w:t>der cir</w:t>
            </w:r>
            <w:r w:rsidRPr="007667C7">
              <w:rPr>
                <w:rFonts w:ascii="Arial" w:hAnsi="Arial"/>
                <w:sz w:val="14"/>
              </w:rPr>
              <w:softHyphen/>
              <w:t>cum</w:t>
            </w:r>
            <w:r w:rsidRPr="007667C7">
              <w:rPr>
                <w:rFonts w:ascii="Arial" w:hAnsi="Arial"/>
                <w:sz w:val="14"/>
              </w:rPr>
              <w:softHyphen/>
              <w:t>stances.</w:t>
            </w:r>
          </w:p>
          <w:p w14:paraId="18B17E1F" w14:textId="77777777" w:rsidR="00DC54EA" w:rsidRPr="007667C7" w:rsidRDefault="00DC54EA">
            <w:pPr>
              <w:ind w:left="180" w:right="80" w:hanging="180"/>
              <w:jc w:val="both"/>
              <w:rPr>
                <w:rFonts w:ascii="Arial" w:hAnsi="Arial"/>
                <w:sz w:val="14"/>
              </w:rPr>
            </w:pPr>
            <w:r w:rsidRPr="007667C7">
              <w:rPr>
                <w:rFonts w:ascii="Arial" w:hAnsi="Arial"/>
                <w:sz w:val="14"/>
              </w:rPr>
              <w:t>Minn.—</w:t>
            </w:r>
            <w:proofErr w:type="spellStart"/>
            <w:r w:rsidRPr="007667C7">
              <w:rPr>
                <w:rFonts w:ascii="Arial" w:hAnsi="Arial"/>
                <w:sz w:val="14"/>
              </w:rPr>
              <w:t>Modec</w:t>
            </w:r>
            <w:proofErr w:type="spellEnd"/>
            <w:r w:rsidRPr="007667C7">
              <w:rPr>
                <w:rFonts w:ascii="Arial" w:hAnsi="Arial"/>
                <w:sz w:val="14"/>
              </w:rPr>
              <w:t xml:space="preserve"> v. City of Eveleth, 29 N.W.2d 453, 224 Minn. 556.</w:t>
            </w:r>
          </w:p>
          <w:p w14:paraId="6C4031EB" w14:textId="77777777" w:rsidR="00DC54EA" w:rsidRPr="007667C7" w:rsidRDefault="00DC54EA">
            <w:pPr>
              <w:ind w:left="180" w:right="80" w:hanging="180"/>
              <w:jc w:val="both"/>
              <w:rPr>
                <w:rFonts w:ascii="Arial" w:hAnsi="Arial"/>
                <w:sz w:val="14"/>
              </w:rPr>
            </w:pPr>
            <w:r w:rsidRPr="007667C7">
              <w:rPr>
                <w:rFonts w:ascii="Arial" w:hAnsi="Arial"/>
                <w:sz w:val="14"/>
              </w:rPr>
              <w:t>Neb.—</w:t>
            </w:r>
            <w:proofErr w:type="spellStart"/>
            <w:r w:rsidRPr="007667C7">
              <w:rPr>
                <w:rFonts w:ascii="Arial" w:hAnsi="Arial"/>
                <w:sz w:val="14"/>
              </w:rPr>
              <w:t>Klause</w:t>
            </w:r>
            <w:proofErr w:type="spellEnd"/>
            <w:r w:rsidRPr="007667C7">
              <w:rPr>
                <w:rFonts w:ascii="Arial" w:hAnsi="Arial"/>
                <w:sz w:val="14"/>
              </w:rPr>
              <w:t xml:space="preserve"> v. Nebraska State Board of Agriculture, 35 N.W.2d 104, 150 Neb. 466—</w:t>
            </w:r>
            <w:proofErr w:type="spellStart"/>
            <w:r w:rsidRPr="007667C7">
              <w:rPr>
                <w:rFonts w:ascii="Arial" w:hAnsi="Arial"/>
                <w:sz w:val="14"/>
              </w:rPr>
              <w:t>Tite</w:t>
            </w:r>
            <w:proofErr w:type="spellEnd"/>
            <w:r w:rsidRPr="007667C7">
              <w:rPr>
                <w:rFonts w:ascii="Arial" w:hAnsi="Arial"/>
                <w:sz w:val="14"/>
              </w:rPr>
              <w:t xml:space="preserve"> v. Omaha Coliseum Corporation, 12 N.W.2d 90, 144 Neb. 22.</w:t>
            </w:r>
          </w:p>
          <w:p w14:paraId="75C7E939" w14:textId="77777777" w:rsidR="00DC54EA" w:rsidRPr="007667C7" w:rsidRDefault="00DC54EA">
            <w:pPr>
              <w:ind w:right="80"/>
              <w:jc w:val="both"/>
              <w:rPr>
                <w:rFonts w:ascii="Arial" w:hAnsi="Arial"/>
                <w:sz w:val="14"/>
              </w:rPr>
            </w:pPr>
            <w:r w:rsidRPr="007667C7">
              <w:rPr>
                <w:rFonts w:ascii="Arial" w:hAnsi="Arial"/>
                <w:sz w:val="14"/>
              </w:rPr>
              <w:t xml:space="preserve">   (2</w:t>
            </w:r>
            <w:proofErr w:type="gramStart"/>
            <w:r w:rsidRPr="007667C7">
              <w:rPr>
                <w:rFonts w:ascii="Arial" w:hAnsi="Arial"/>
                <w:sz w:val="14"/>
              </w:rPr>
              <w:t>)   One</w:t>
            </w:r>
            <w:proofErr w:type="gramEnd"/>
            <w:r w:rsidRPr="007667C7">
              <w:rPr>
                <w:rFonts w:ascii="Arial" w:hAnsi="Arial"/>
                <w:sz w:val="14"/>
              </w:rPr>
              <w:t xml:space="preserve"> participating in a race assumes the risk of injury from natural hazards necessarily in</w:t>
            </w:r>
            <w:r w:rsidRPr="007667C7">
              <w:rPr>
                <w:rFonts w:ascii="Arial" w:hAnsi="Arial"/>
                <w:sz w:val="14"/>
              </w:rPr>
              <w:softHyphen/>
              <w:t>ci</w:t>
            </w:r>
            <w:r w:rsidRPr="007667C7">
              <w:rPr>
                <w:rFonts w:ascii="Arial" w:hAnsi="Arial"/>
                <w:sz w:val="14"/>
              </w:rPr>
              <w:softHyphen/>
              <w:t>dent to, or which inhere in, such a race, under maxim “</w:t>
            </w:r>
            <w:proofErr w:type="spellStart"/>
            <w:r w:rsidRPr="007667C7">
              <w:rPr>
                <w:rFonts w:ascii="Arial" w:hAnsi="Arial"/>
                <w:sz w:val="14"/>
              </w:rPr>
              <w:t>volenti</w:t>
            </w:r>
            <w:proofErr w:type="spellEnd"/>
            <w:r w:rsidRPr="007667C7">
              <w:rPr>
                <w:rFonts w:ascii="Arial" w:hAnsi="Arial"/>
                <w:sz w:val="14"/>
              </w:rPr>
              <w:t xml:space="preserve"> non fit </w:t>
            </w:r>
            <w:proofErr w:type="spellStart"/>
            <w:r w:rsidRPr="007667C7">
              <w:rPr>
                <w:rFonts w:ascii="Arial" w:hAnsi="Arial"/>
                <w:sz w:val="14"/>
              </w:rPr>
              <w:t>injuria</w:t>
            </w:r>
            <w:proofErr w:type="spellEnd"/>
            <w:r w:rsidRPr="007667C7">
              <w:rPr>
                <w:rFonts w:ascii="Arial" w:hAnsi="Arial"/>
                <w:sz w:val="14"/>
              </w:rPr>
              <w:t>,” which means that to which a person assents is not es</w:t>
            </w:r>
            <w:r w:rsidRPr="007667C7">
              <w:rPr>
                <w:rFonts w:ascii="Arial" w:hAnsi="Arial"/>
                <w:sz w:val="14"/>
              </w:rPr>
              <w:softHyphen/>
              <w:t>teemed in law an injury.—Hotels El Rancho v. Pray, 187 P.2d 568, 64 Nev. 591.</w:t>
            </w:r>
          </w:p>
          <w:p w14:paraId="114B1C6E" w14:textId="77777777" w:rsidR="00DC54EA" w:rsidRPr="007667C7" w:rsidRDefault="00DC54EA">
            <w:pPr>
              <w:ind w:right="80"/>
              <w:jc w:val="both"/>
              <w:rPr>
                <w:rFonts w:ascii="Arial" w:hAnsi="Arial"/>
                <w:sz w:val="14"/>
              </w:rPr>
            </w:pPr>
            <w:r w:rsidRPr="007667C7">
              <w:rPr>
                <w:rFonts w:ascii="Arial" w:hAnsi="Arial"/>
                <w:sz w:val="14"/>
              </w:rPr>
              <w:t xml:space="preserve">   (3</w:t>
            </w:r>
            <w:proofErr w:type="gramStart"/>
            <w:r w:rsidRPr="007667C7">
              <w:rPr>
                <w:rFonts w:ascii="Arial" w:hAnsi="Arial"/>
                <w:sz w:val="14"/>
              </w:rPr>
              <w:t>)   Patrons</w:t>
            </w:r>
            <w:proofErr w:type="gramEnd"/>
            <w:r w:rsidRPr="007667C7">
              <w:rPr>
                <w:rFonts w:ascii="Arial" w:hAnsi="Arial"/>
                <w:sz w:val="14"/>
              </w:rPr>
              <w:t xml:space="preserve"> of a place of amusement assume the risk of ordinary dangers normally atten</w:t>
            </w:r>
            <w:r w:rsidRPr="007667C7">
              <w:rPr>
                <w:rFonts w:ascii="Arial" w:hAnsi="Arial"/>
                <w:sz w:val="14"/>
              </w:rPr>
              <w:softHyphen/>
              <w:t>dant thereon and also the risks ensuing from condi</w:t>
            </w:r>
            <w:r w:rsidRPr="007667C7">
              <w:rPr>
                <w:rFonts w:ascii="Arial" w:hAnsi="Arial"/>
                <w:sz w:val="14"/>
              </w:rPr>
              <w:softHyphen/>
              <w:t>tions of which they now or of which, in the par</w:t>
            </w:r>
            <w:r w:rsidRPr="007667C7">
              <w:rPr>
                <w:rFonts w:ascii="Arial" w:hAnsi="Arial"/>
                <w:sz w:val="14"/>
              </w:rPr>
              <w:softHyphen/>
              <w:t>tic</w:t>
            </w:r>
            <w:r w:rsidRPr="007667C7">
              <w:rPr>
                <w:rFonts w:ascii="Arial" w:hAnsi="Arial"/>
                <w:sz w:val="14"/>
              </w:rPr>
              <w:softHyphen/>
              <w:t>ular circumstances, they are charged with knowl</w:t>
            </w:r>
            <w:r w:rsidRPr="007667C7">
              <w:rPr>
                <w:rFonts w:ascii="Arial" w:hAnsi="Arial"/>
                <w:sz w:val="14"/>
              </w:rPr>
              <w:softHyphen/>
              <w:t xml:space="preserve">edge, and which inhere therein.—Young v. Ross, 21 A.2d 762, 127 </w:t>
            </w:r>
            <w:proofErr w:type="spellStart"/>
            <w:r w:rsidRPr="007667C7">
              <w:rPr>
                <w:rFonts w:ascii="Arial" w:hAnsi="Arial"/>
                <w:sz w:val="14"/>
              </w:rPr>
              <w:t>N.J.Law</w:t>
            </w:r>
            <w:proofErr w:type="spellEnd"/>
            <w:r w:rsidRPr="007667C7">
              <w:rPr>
                <w:rFonts w:ascii="Arial" w:hAnsi="Arial"/>
                <w:sz w:val="14"/>
              </w:rPr>
              <w:t xml:space="preserve"> 211.</w:t>
            </w:r>
          </w:p>
          <w:p w14:paraId="098E7105" w14:textId="77777777" w:rsidR="00DC54EA" w:rsidRPr="007667C7" w:rsidRDefault="00DC54EA">
            <w:pPr>
              <w:ind w:right="80"/>
              <w:jc w:val="both"/>
              <w:rPr>
                <w:rFonts w:ascii="Arial" w:hAnsi="Arial"/>
                <w:sz w:val="8"/>
              </w:rPr>
            </w:pPr>
          </w:p>
          <w:p w14:paraId="3892841D" w14:textId="77777777" w:rsidR="00DC54EA" w:rsidRPr="007667C7" w:rsidRDefault="00DC54EA">
            <w:pPr>
              <w:ind w:left="360" w:right="80" w:hanging="360"/>
              <w:jc w:val="both"/>
              <w:rPr>
                <w:rFonts w:ascii="Arial" w:hAnsi="Arial"/>
                <w:b/>
                <w:sz w:val="14"/>
              </w:rPr>
            </w:pPr>
            <w:r w:rsidRPr="007667C7">
              <w:rPr>
                <w:rFonts w:ascii="Arial" w:hAnsi="Arial"/>
                <w:b/>
                <w:sz w:val="14"/>
              </w:rPr>
              <w:t>Liability of proprietor of sports arena</w:t>
            </w:r>
          </w:p>
          <w:p w14:paraId="67E32852" w14:textId="77777777" w:rsidR="00DC54EA" w:rsidRPr="007667C7" w:rsidRDefault="00DC54EA">
            <w:pPr>
              <w:ind w:right="80"/>
              <w:jc w:val="both"/>
              <w:rPr>
                <w:rFonts w:ascii="Arial" w:hAnsi="Arial"/>
                <w:sz w:val="14"/>
              </w:rPr>
            </w:pPr>
            <w:r w:rsidRPr="007667C7">
              <w:rPr>
                <w:rFonts w:ascii="Arial" w:hAnsi="Arial"/>
                <w:sz w:val="14"/>
              </w:rPr>
              <w:t xml:space="preserve">   Generally, the proprietor of an establishment where contests of baseball, hockey, etc., are con</w:t>
            </w:r>
            <w:r w:rsidRPr="007667C7">
              <w:rPr>
                <w:rFonts w:ascii="Arial" w:hAnsi="Arial"/>
                <w:sz w:val="14"/>
              </w:rPr>
              <w:softHyphen/>
              <w:t>ducted, is not liable for injuries to its patrons</w:t>
            </w:r>
            <w:proofErr w:type="gramStart"/>
            <w:r w:rsidRPr="007667C7">
              <w:rPr>
                <w:rFonts w:ascii="Arial" w:hAnsi="Arial"/>
                <w:sz w:val="14"/>
              </w:rPr>
              <w:t>.—</w:t>
            </w:r>
            <w:proofErr w:type="spellStart"/>
            <w:proofErr w:type="gramEnd"/>
            <w:r w:rsidRPr="007667C7">
              <w:rPr>
                <w:rFonts w:ascii="Arial" w:hAnsi="Arial"/>
                <w:sz w:val="14"/>
              </w:rPr>
              <w:t>Zeitz</w:t>
            </w:r>
            <w:proofErr w:type="spellEnd"/>
            <w:r w:rsidRPr="007667C7">
              <w:rPr>
                <w:rFonts w:ascii="Arial" w:hAnsi="Arial"/>
                <w:sz w:val="14"/>
              </w:rPr>
              <w:t xml:space="preserve"> v. Cooperstown Baseball Cen-</w:t>
            </w:r>
            <w:proofErr w:type="spellStart"/>
            <w:r w:rsidRPr="007667C7">
              <w:rPr>
                <w:rFonts w:ascii="Arial" w:hAnsi="Arial"/>
                <w:sz w:val="14"/>
              </w:rPr>
              <w:t>tennial</w:t>
            </w:r>
            <w:proofErr w:type="spellEnd"/>
            <w:r w:rsidRPr="007667C7">
              <w:rPr>
                <w:rFonts w:ascii="Arial" w:hAnsi="Arial"/>
                <w:sz w:val="14"/>
              </w:rPr>
              <w:t>, 29 N.Y.S.2d 56.</w:t>
            </w:r>
          </w:p>
          <w:p w14:paraId="108EBF30" w14:textId="77777777" w:rsidR="00DC54EA" w:rsidRPr="007667C7" w:rsidRDefault="00DC54EA">
            <w:pPr>
              <w:ind w:right="80"/>
              <w:jc w:val="both"/>
              <w:rPr>
                <w:rFonts w:ascii="Arial" w:hAnsi="Arial"/>
                <w:sz w:val="8"/>
              </w:rPr>
            </w:pPr>
          </w:p>
          <w:p w14:paraId="4F494F68" w14:textId="77777777" w:rsidR="00DC54EA" w:rsidRPr="007667C7" w:rsidRDefault="00DC54EA">
            <w:pPr>
              <w:pStyle w:val="BlockText"/>
              <w:rPr>
                <w:rFonts w:ascii="Arial" w:hAnsi="Arial"/>
              </w:rPr>
            </w:pPr>
            <w:r w:rsidRPr="007667C7">
              <w:rPr>
                <w:rFonts w:ascii="Arial" w:hAnsi="Arial"/>
              </w:rPr>
              <w:t>Risks of particular sports or en</w:t>
            </w:r>
            <w:r w:rsidRPr="007667C7">
              <w:rPr>
                <w:rFonts w:ascii="Arial" w:hAnsi="Arial"/>
                <w:b w:val="0"/>
              </w:rPr>
              <w:softHyphen/>
            </w:r>
            <w:r w:rsidRPr="007667C7">
              <w:rPr>
                <w:rFonts w:ascii="Arial" w:hAnsi="Arial"/>
              </w:rPr>
              <w:t>tertain</w:t>
            </w:r>
            <w:r w:rsidRPr="007667C7">
              <w:rPr>
                <w:rFonts w:ascii="Arial" w:hAnsi="Arial"/>
                <w:b w:val="0"/>
              </w:rPr>
              <w:softHyphen/>
            </w:r>
            <w:r w:rsidRPr="007667C7">
              <w:rPr>
                <w:rFonts w:ascii="Arial" w:hAnsi="Arial"/>
              </w:rPr>
              <w:t>ment</w:t>
            </w:r>
          </w:p>
          <w:p w14:paraId="4A7820BF" w14:textId="77777777" w:rsidR="00DC54EA" w:rsidRPr="007667C7" w:rsidRDefault="00DC54EA">
            <w:pPr>
              <w:ind w:right="80"/>
              <w:jc w:val="both"/>
              <w:rPr>
                <w:rFonts w:ascii="Arial" w:hAnsi="Arial"/>
                <w:sz w:val="14"/>
              </w:rPr>
            </w:pPr>
            <w:r w:rsidRPr="007667C7">
              <w:rPr>
                <w:rFonts w:ascii="Arial" w:hAnsi="Arial"/>
                <w:sz w:val="14"/>
              </w:rPr>
              <w:t xml:space="preserve">   (1</w:t>
            </w:r>
            <w:proofErr w:type="gramStart"/>
            <w:r w:rsidRPr="007667C7">
              <w:rPr>
                <w:rFonts w:ascii="Arial" w:hAnsi="Arial"/>
                <w:sz w:val="14"/>
              </w:rPr>
              <w:t>)   Baseball</w:t>
            </w:r>
            <w:proofErr w:type="gramEnd"/>
            <w:r w:rsidRPr="007667C7">
              <w:rPr>
                <w:rFonts w:ascii="Arial" w:hAnsi="Arial"/>
                <w:sz w:val="14"/>
              </w:rPr>
              <w:t>.</w:t>
            </w:r>
          </w:p>
          <w:p w14:paraId="7D8D22AA" w14:textId="77777777" w:rsidR="00DC54EA" w:rsidRPr="007667C7" w:rsidRDefault="00DC54EA">
            <w:pPr>
              <w:ind w:left="180" w:right="80" w:hanging="180"/>
              <w:jc w:val="both"/>
              <w:rPr>
                <w:rFonts w:ascii="Arial" w:hAnsi="Arial"/>
                <w:sz w:val="14"/>
              </w:rPr>
            </w:pPr>
            <w:r w:rsidRPr="007667C7">
              <w:rPr>
                <w:rFonts w:ascii="Arial" w:hAnsi="Arial"/>
                <w:sz w:val="14"/>
              </w:rPr>
              <w:t xml:space="preserve">Cal.—Quinn v. Recreation Park </w:t>
            </w:r>
            <w:proofErr w:type="spellStart"/>
            <w:r w:rsidRPr="007667C7">
              <w:rPr>
                <w:rFonts w:ascii="Arial" w:hAnsi="Arial"/>
                <w:sz w:val="14"/>
              </w:rPr>
              <w:t>Ass’n</w:t>
            </w:r>
            <w:proofErr w:type="spellEnd"/>
            <w:r w:rsidRPr="007667C7">
              <w:rPr>
                <w:rFonts w:ascii="Arial" w:hAnsi="Arial"/>
                <w:sz w:val="14"/>
              </w:rPr>
              <w:t>, 46 P.2d 141, 3 Cal.2d 725—Brown v. San Francisco Ball Club, 222 P.2d 19, 99 Cal.App.2d 484—Ratcliff v. San Diego Baseball Club of Pacific Coast League, 81 P.2d 625, 27 Cal.App.2d 733.</w:t>
            </w:r>
          </w:p>
          <w:p w14:paraId="2A77C773" w14:textId="77777777" w:rsidR="00DC54EA" w:rsidRPr="007667C7" w:rsidRDefault="00DC54EA">
            <w:pPr>
              <w:ind w:left="180" w:right="80" w:hanging="180"/>
              <w:jc w:val="both"/>
              <w:rPr>
                <w:rFonts w:ascii="Arial" w:hAnsi="Arial"/>
                <w:sz w:val="14"/>
              </w:rPr>
            </w:pPr>
            <w:r w:rsidRPr="007667C7">
              <w:rPr>
                <w:rFonts w:ascii="Arial" w:hAnsi="Arial"/>
                <w:sz w:val="14"/>
              </w:rPr>
              <w:t>Ind.—</w:t>
            </w:r>
            <w:proofErr w:type="spellStart"/>
            <w:r w:rsidRPr="007667C7">
              <w:rPr>
                <w:rFonts w:ascii="Arial" w:hAnsi="Arial"/>
                <w:sz w:val="14"/>
              </w:rPr>
              <w:t>Emhardt</w:t>
            </w:r>
            <w:proofErr w:type="spellEnd"/>
            <w:r w:rsidRPr="007667C7">
              <w:rPr>
                <w:rFonts w:ascii="Arial" w:hAnsi="Arial"/>
                <w:sz w:val="14"/>
              </w:rPr>
              <w:t xml:space="preserve"> v. Perry Stadium, 46 N.E.2d 704, 113 </w:t>
            </w:r>
            <w:proofErr w:type="spellStart"/>
            <w:r w:rsidRPr="007667C7">
              <w:rPr>
                <w:rFonts w:ascii="Arial" w:hAnsi="Arial"/>
                <w:sz w:val="14"/>
              </w:rPr>
              <w:t>Ind.App</w:t>
            </w:r>
            <w:proofErr w:type="spellEnd"/>
            <w:r w:rsidRPr="007667C7">
              <w:rPr>
                <w:rFonts w:ascii="Arial" w:hAnsi="Arial"/>
                <w:sz w:val="14"/>
              </w:rPr>
              <w:t>. 197.</w:t>
            </w:r>
          </w:p>
          <w:p w14:paraId="502B4BA3" w14:textId="77777777" w:rsidR="00DC54EA" w:rsidRPr="007667C7" w:rsidRDefault="00DC54EA">
            <w:pPr>
              <w:ind w:left="180" w:right="80" w:hanging="180"/>
              <w:jc w:val="both"/>
              <w:rPr>
                <w:rFonts w:ascii="Arial" w:hAnsi="Arial"/>
                <w:sz w:val="14"/>
              </w:rPr>
            </w:pPr>
            <w:r w:rsidRPr="007667C7">
              <w:rPr>
                <w:rFonts w:ascii="Arial" w:hAnsi="Arial"/>
                <w:sz w:val="14"/>
              </w:rPr>
              <w:t xml:space="preserve">La.—Jones v. Alexandria Baseball </w:t>
            </w:r>
            <w:proofErr w:type="spellStart"/>
            <w:r w:rsidRPr="007667C7">
              <w:rPr>
                <w:rFonts w:ascii="Arial" w:hAnsi="Arial"/>
                <w:sz w:val="14"/>
              </w:rPr>
              <w:t>Ass’n</w:t>
            </w:r>
            <w:proofErr w:type="spellEnd"/>
            <w:r w:rsidRPr="007667C7">
              <w:rPr>
                <w:rFonts w:ascii="Arial" w:hAnsi="Arial"/>
                <w:sz w:val="14"/>
              </w:rPr>
              <w:t>, App., 50 So.2d 93.</w:t>
            </w:r>
          </w:p>
          <w:p w14:paraId="28018349" w14:textId="77777777" w:rsidR="00DC54EA" w:rsidRPr="009A13E9" w:rsidRDefault="00DC54EA">
            <w:pPr>
              <w:ind w:left="180" w:right="80" w:hanging="180"/>
              <w:jc w:val="both"/>
              <w:rPr>
                <w:rFonts w:ascii="New Century Schlbk" w:hAnsi="New Century Schlbk"/>
                <w:sz w:val="14"/>
              </w:rPr>
            </w:pPr>
            <w:r w:rsidRPr="007667C7">
              <w:rPr>
                <w:rFonts w:ascii="Arial" w:hAnsi="Arial"/>
                <w:sz w:val="14"/>
              </w:rPr>
              <w:t xml:space="preserve">Mo.—Hudson v. Kansas City Baseball Club, 164 S.W.2d 318, 349 Mo. 1215—Grimes v. American League Baseball Co., App., 78 S.W.2d </w:t>
            </w:r>
          </w:p>
        </w:tc>
        <w:tc>
          <w:tcPr>
            <w:tcW w:w="3480" w:type="dxa"/>
            <w:tcBorders>
              <w:right w:val="single" w:sz="12" w:space="0" w:color="auto"/>
            </w:tcBorders>
          </w:tcPr>
          <w:p w14:paraId="5D163D8B"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N.Y.—Ingersoll v. Onondaga </w:t>
            </w:r>
            <w:proofErr w:type="gramStart"/>
            <w:r w:rsidRPr="007667C7">
              <w:rPr>
                <w:rFonts w:ascii="Arial" w:hAnsi="Arial"/>
                <w:sz w:val="14"/>
              </w:rPr>
              <w:t>Hockey  Club</w:t>
            </w:r>
            <w:proofErr w:type="gramEnd"/>
            <w:r w:rsidRPr="007667C7">
              <w:rPr>
                <w:rFonts w:ascii="Arial" w:hAnsi="Arial"/>
                <w:sz w:val="14"/>
              </w:rPr>
              <w:t>, 281 N.Y.S. 505, 245  App.Div.137—Jones v. Kane &amp; Roach, 43 N.Y.S.2d 140, 187 Misc. 37—Blackball v. Albany Baseball &amp; Amusement Co., 285 N.Y.S.2d 695, 157 Misc. 801—</w:t>
            </w:r>
            <w:proofErr w:type="spellStart"/>
            <w:r w:rsidRPr="007667C7">
              <w:rPr>
                <w:rFonts w:ascii="Arial" w:hAnsi="Arial"/>
                <w:sz w:val="14"/>
              </w:rPr>
              <w:t>Zeitz</w:t>
            </w:r>
            <w:proofErr w:type="spellEnd"/>
            <w:r w:rsidRPr="007667C7">
              <w:rPr>
                <w:rFonts w:ascii="Arial" w:hAnsi="Arial"/>
                <w:sz w:val="14"/>
              </w:rPr>
              <w:t xml:space="preserve"> v. Cooperstown Baseball Centennial, 29 N.Y.S.2d 56.</w:t>
            </w:r>
          </w:p>
          <w:p w14:paraId="3943D5EA"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N.C.—Cates v. Cincinnati Exhibition Co., 1 S.E.2d 131, 215 N.C. 64.</w:t>
            </w:r>
          </w:p>
          <w:p w14:paraId="7A72325E"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Ohio</w:t>
            </w:r>
            <w:proofErr w:type="gramStart"/>
            <w:r w:rsidRPr="007667C7">
              <w:rPr>
                <w:rFonts w:ascii="Arial" w:hAnsi="Arial"/>
                <w:sz w:val="14"/>
              </w:rPr>
              <w:t>.—</w:t>
            </w:r>
            <w:proofErr w:type="gramEnd"/>
            <w:r w:rsidRPr="007667C7">
              <w:rPr>
                <w:rFonts w:ascii="Arial" w:hAnsi="Arial"/>
                <w:sz w:val="14"/>
              </w:rPr>
              <w:t>Hummel v. Columbus Baseball Club, 49 N.E.2d 773, 71 Ohio App. 321—Ivory v. Cincinnati Baseball Club Co., 24 N.e.2d 837, 62 Ohio App. 514.</w:t>
            </w:r>
          </w:p>
          <w:p w14:paraId="0A03417A" w14:textId="77777777" w:rsidR="00DC54EA" w:rsidRPr="007667C7" w:rsidRDefault="00DC54EA">
            <w:pPr>
              <w:tabs>
                <w:tab w:val="left" w:pos="-4040"/>
                <w:tab w:val="left" w:pos="-1160"/>
              </w:tabs>
              <w:ind w:left="180" w:hanging="180"/>
              <w:jc w:val="both"/>
              <w:rPr>
                <w:rFonts w:ascii="Arial" w:hAnsi="Arial"/>
                <w:sz w:val="14"/>
              </w:rPr>
            </w:pPr>
            <w:proofErr w:type="spellStart"/>
            <w:r w:rsidRPr="007667C7">
              <w:rPr>
                <w:rFonts w:ascii="Arial" w:hAnsi="Arial"/>
                <w:sz w:val="14"/>
              </w:rPr>
              <w:t>Okl</w:t>
            </w:r>
            <w:proofErr w:type="spellEnd"/>
            <w:proofErr w:type="gramStart"/>
            <w:r w:rsidRPr="007667C7">
              <w:rPr>
                <w:rFonts w:ascii="Arial" w:hAnsi="Arial"/>
                <w:sz w:val="14"/>
              </w:rPr>
              <w:t>.—</w:t>
            </w:r>
            <w:proofErr w:type="gramEnd"/>
            <w:r w:rsidRPr="007667C7">
              <w:rPr>
                <w:rFonts w:ascii="Arial" w:hAnsi="Arial"/>
                <w:sz w:val="14"/>
              </w:rPr>
              <w:t xml:space="preserve">Hull v. Oklahoma City Baseball Co., 163 P.2d 982, 196 </w:t>
            </w:r>
            <w:proofErr w:type="spellStart"/>
            <w:r w:rsidRPr="007667C7">
              <w:rPr>
                <w:rFonts w:ascii="Arial" w:hAnsi="Arial"/>
                <w:sz w:val="14"/>
              </w:rPr>
              <w:t>Okl</w:t>
            </w:r>
            <w:proofErr w:type="spellEnd"/>
            <w:r w:rsidRPr="007667C7">
              <w:rPr>
                <w:rFonts w:ascii="Arial" w:hAnsi="Arial"/>
                <w:sz w:val="14"/>
              </w:rPr>
              <w:t>. 40.</w:t>
            </w:r>
          </w:p>
          <w:p w14:paraId="39F3AC9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Tex.—Williams v. Houston Baseball </w:t>
            </w:r>
            <w:proofErr w:type="spellStart"/>
            <w:r w:rsidRPr="007667C7">
              <w:rPr>
                <w:rFonts w:ascii="Arial" w:hAnsi="Arial"/>
                <w:sz w:val="14"/>
              </w:rPr>
              <w:t>Ass’n</w:t>
            </w:r>
            <w:proofErr w:type="spellEnd"/>
            <w:r w:rsidRPr="007667C7">
              <w:rPr>
                <w:rFonts w:ascii="Arial" w:hAnsi="Arial"/>
                <w:sz w:val="14"/>
              </w:rPr>
              <w:t xml:space="preserve">, </w:t>
            </w:r>
            <w:proofErr w:type="spellStart"/>
            <w:r w:rsidRPr="007667C7">
              <w:rPr>
                <w:rFonts w:ascii="Arial" w:hAnsi="Arial"/>
                <w:sz w:val="14"/>
              </w:rPr>
              <w:t>Civ.App</w:t>
            </w:r>
            <w:proofErr w:type="spellEnd"/>
            <w:proofErr w:type="gramStart"/>
            <w:r w:rsidRPr="007667C7">
              <w:rPr>
                <w:rFonts w:ascii="Arial" w:hAnsi="Arial"/>
                <w:sz w:val="14"/>
              </w:rPr>
              <w:t>.,</w:t>
            </w:r>
            <w:proofErr w:type="gramEnd"/>
            <w:r w:rsidRPr="007667C7">
              <w:rPr>
                <w:rFonts w:ascii="Arial" w:hAnsi="Arial"/>
                <w:sz w:val="14"/>
              </w:rPr>
              <w:t xml:space="preserve"> 154 S.W.2d 874—Keys v. Alamo City Baseball Co., </w:t>
            </w:r>
            <w:proofErr w:type="spellStart"/>
            <w:r w:rsidRPr="007667C7">
              <w:rPr>
                <w:rFonts w:ascii="Arial" w:hAnsi="Arial"/>
                <w:sz w:val="14"/>
              </w:rPr>
              <w:t>Civ.App</w:t>
            </w:r>
            <w:proofErr w:type="spellEnd"/>
            <w:r w:rsidRPr="007667C7">
              <w:rPr>
                <w:rFonts w:ascii="Arial" w:hAnsi="Arial"/>
                <w:sz w:val="14"/>
              </w:rPr>
              <w:t>., 150 S.W.2d 368.</w:t>
            </w:r>
          </w:p>
          <w:p w14:paraId="543079A3"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Utah</w:t>
            </w:r>
            <w:proofErr w:type="gramStart"/>
            <w:r w:rsidRPr="007667C7">
              <w:rPr>
                <w:rFonts w:ascii="Arial" w:hAnsi="Arial"/>
                <w:sz w:val="14"/>
              </w:rPr>
              <w:t>.—</w:t>
            </w:r>
            <w:proofErr w:type="gramEnd"/>
            <w:r w:rsidRPr="007667C7">
              <w:rPr>
                <w:rFonts w:ascii="Arial" w:hAnsi="Arial"/>
                <w:sz w:val="14"/>
              </w:rPr>
              <w:t>Hamilton v. Salt Lake City Corp., 237 P.2d 841.</w:t>
            </w:r>
          </w:p>
          <w:p w14:paraId="62B7542E"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62 C.J. p 877 </w:t>
            </w:r>
            <w:proofErr w:type="gramStart"/>
            <w:r w:rsidRPr="007667C7">
              <w:rPr>
                <w:rFonts w:ascii="Arial" w:hAnsi="Arial"/>
                <w:sz w:val="14"/>
              </w:rPr>
              <w:t>note</w:t>
            </w:r>
            <w:proofErr w:type="gramEnd"/>
            <w:r w:rsidRPr="007667C7">
              <w:rPr>
                <w:rFonts w:ascii="Arial" w:hAnsi="Arial"/>
                <w:sz w:val="14"/>
              </w:rPr>
              <w:t xml:space="preserve"> 63 [a].</w:t>
            </w:r>
          </w:p>
          <w:p w14:paraId="680C3AA8" w14:textId="5BF9E5FD" w:rsidR="00DC54EA" w:rsidRPr="007667C7" w:rsidRDefault="00DC54EA">
            <w:pPr>
              <w:tabs>
                <w:tab w:val="left" w:pos="-4040"/>
                <w:tab w:val="left" w:pos="-1160"/>
              </w:tabs>
              <w:jc w:val="both"/>
              <w:rPr>
                <w:rFonts w:ascii="Arial" w:hAnsi="Arial"/>
                <w:sz w:val="14"/>
              </w:rPr>
            </w:pPr>
            <w:r w:rsidRPr="007667C7">
              <w:rPr>
                <w:rFonts w:ascii="Arial" w:hAnsi="Arial"/>
                <w:sz w:val="14"/>
              </w:rPr>
              <w:t>(2</w:t>
            </w:r>
            <w:proofErr w:type="gramStart"/>
            <w:r w:rsidRPr="007667C7">
              <w:rPr>
                <w:rFonts w:ascii="Arial" w:hAnsi="Arial"/>
                <w:sz w:val="14"/>
              </w:rPr>
              <w:t>)     Basketball</w:t>
            </w:r>
            <w:proofErr w:type="gramEnd"/>
            <w:r w:rsidRPr="007667C7">
              <w:rPr>
                <w:rFonts w:ascii="Arial" w:hAnsi="Arial"/>
                <w:sz w:val="14"/>
              </w:rPr>
              <w:t xml:space="preserve">.—Paine v. Young Men’s Christian </w:t>
            </w:r>
            <w:proofErr w:type="spellStart"/>
            <w:r w:rsidRPr="007667C7">
              <w:rPr>
                <w:rFonts w:ascii="Arial" w:hAnsi="Arial"/>
                <w:sz w:val="14"/>
              </w:rPr>
              <w:t>Ass’n</w:t>
            </w:r>
            <w:proofErr w:type="spellEnd"/>
            <w:r w:rsidRPr="007667C7">
              <w:rPr>
                <w:rFonts w:ascii="Arial" w:hAnsi="Arial"/>
                <w:sz w:val="14"/>
              </w:rPr>
              <w:t>, 13 A.2d 820, 91 N.H. 78.</w:t>
            </w:r>
          </w:p>
          <w:p w14:paraId="2024DCF2" w14:textId="1509047A"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(3</w:t>
            </w:r>
            <w:proofErr w:type="gramStart"/>
            <w:r w:rsidRPr="007667C7">
              <w:rPr>
                <w:rFonts w:ascii="Arial" w:hAnsi="Arial"/>
                <w:sz w:val="14"/>
              </w:rPr>
              <w:t>)     Golf</w:t>
            </w:r>
            <w:proofErr w:type="gramEnd"/>
            <w:r w:rsidRPr="007667C7">
              <w:rPr>
                <w:rFonts w:ascii="Arial" w:hAnsi="Arial"/>
                <w:sz w:val="14"/>
              </w:rPr>
              <w:t xml:space="preserve">.  Mass.—Katz v. </w:t>
            </w:r>
            <w:proofErr w:type="spellStart"/>
            <w:r w:rsidRPr="007667C7">
              <w:rPr>
                <w:rFonts w:ascii="Arial" w:hAnsi="Arial"/>
                <w:sz w:val="14"/>
              </w:rPr>
              <w:t>Gow</w:t>
            </w:r>
            <w:proofErr w:type="spellEnd"/>
            <w:r w:rsidRPr="007667C7">
              <w:rPr>
                <w:rFonts w:ascii="Arial" w:hAnsi="Arial"/>
                <w:sz w:val="14"/>
              </w:rPr>
              <w:t>, 75 N.E.2d 438, 321 Mass. 666.</w:t>
            </w:r>
          </w:p>
          <w:p w14:paraId="413CFDD7"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N.J.—Young v. Ross, 21 A.2d 762, 127 </w:t>
            </w:r>
            <w:proofErr w:type="spellStart"/>
            <w:r w:rsidRPr="007667C7">
              <w:rPr>
                <w:rFonts w:ascii="Arial" w:hAnsi="Arial"/>
                <w:sz w:val="14"/>
              </w:rPr>
              <w:t>N.J.Law</w:t>
            </w:r>
            <w:proofErr w:type="spellEnd"/>
            <w:r w:rsidRPr="007667C7">
              <w:rPr>
                <w:rFonts w:ascii="Arial" w:hAnsi="Arial"/>
                <w:sz w:val="14"/>
              </w:rPr>
              <w:t xml:space="preserve"> 211.</w:t>
            </w:r>
          </w:p>
          <w:p w14:paraId="5BE2F759" w14:textId="77777777" w:rsidR="00DC54EA" w:rsidRPr="007667C7" w:rsidRDefault="00DC54EA">
            <w:pPr>
              <w:tabs>
                <w:tab w:val="left" w:pos="-4040"/>
                <w:tab w:val="left" w:pos="-1160"/>
              </w:tabs>
              <w:ind w:left="180" w:hanging="180"/>
              <w:jc w:val="both"/>
              <w:rPr>
                <w:rFonts w:ascii="Arial" w:hAnsi="Arial"/>
                <w:sz w:val="8"/>
              </w:rPr>
            </w:pPr>
          </w:p>
          <w:p w14:paraId="2D37EDCC" w14:textId="77777777" w:rsidR="00DC54EA" w:rsidRPr="007667C7" w:rsidRDefault="00DC54EA">
            <w:pPr>
              <w:tabs>
                <w:tab w:val="left" w:pos="-4040"/>
                <w:tab w:val="left" w:pos="-1160"/>
              </w:tabs>
              <w:jc w:val="both"/>
              <w:rPr>
                <w:rFonts w:ascii="Arial" w:hAnsi="Arial"/>
                <w:sz w:val="14"/>
              </w:rPr>
            </w:pPr>
            <w:r w:rsidRPr="007667C7">
              <w:rPr>
                <w:rFonts w:ascii="Arial" w:hAnsi="Arial"/>
                <w:sz w:val="14"/>
              </w:rPr>
              <w:t xml:space="preserve">    (4</w:t>
            </w:r>
            <w:proofErr w:type="gramStart"/>
            <w:r w:rsidRPr="007667C7">
              <w:rPr>
                <w:rFonts w:ascii="Arial" w:hAnsi="Arial"/>
                <w:sz w:val="14"/>
              </w:rPr>
              <w:t>)     Diving</w:t>
            </w:r>
            <w:proofErr w:type="gramEnd"/>
            <w:r w:rsidRPr="007667C7">
              <w:rPr>
                <w:rFonts w:ascii="Arial" w:hAnsi="Arial"/>
                <w:sz w:val="14"/>
              </w:rPr>
              <w:t>.—Hill v. Merrick, 31 P.2d 663, 147 Or. 244.</w:t>
            </w:r>
          </w:p>
          <w:p w14:paraId="04D02899" w14:textId="69079728"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(5</w:t>
            </w:r>
            <w:proofErr w:type="gramStart"/>
            <w:r w:rsidRPr="007667C7">
              <w:rPr>
                <w:rFonts w:ascii="Arial" w:hAnsi="Arial"/>
                <w:sz w:val="14"/>
              </w:rPr>
              <w:t>)     Hockey</w:t>
            </w:r>
            <w:proofErr w:type="gramEnd"/>
            <w:r w:rsidRPr="007667C7">
              <w:rPr>
                <w:rFonts w:ascii="Arial" w:hAnsi="Arial"/>
                <w:sz w:val="14"/>
              </w:rPr>
              <w:t>.</w:t>
            </w:r>
          </w:p>
          <w:p w14:paraId="40B22A8E"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Minn.—</w:t>
            </w:r>
            <w:proofErr w:type="spellStart"/>
            <w:r w:rsidRPr="007667C7">
              <w:rPr>
                <w:rFonts w:ascii="Arial" w:hAnsi="Arial"/>
                <w:sz w:val="14"/>
              </w:rPr>
              <w:t>Modec</w:t>
            </w:r>
            <w:proofErr w:type="spellEnd"/>
            <w:r w:rsidRPr="007667C7">
              <w:rPr>
                <w:rFonts w:ascii="Arial" w:hAnsi="Arial"/>
                <w:sz w:val="14"/>
              </w:rPr>
              <w:t xml:space="preserve"> v. City of Eveleth, 29 N.W.2d 453, 224 Minn. 556.</w:t>
            </w:r>
          </w:p>
          <w:p w14:paraId="0E17738A"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N.Y.—Ingersoll v. Onondaga Hockey Club, 281 N.Y.S.2d 505, 245 </w:t>
            </w:r>
            <w:proofErr w:type="spellStart"/>
            <w:r w:rsidRPr="007667C7">
              <w:rPr>
                <w:rFonts w:ascii="Arial" w:hAnsi="Arial"/>
                <w:sz w:val="14"/>
              </w:rPr>
              <w:t>App.Div</w:t>
            </w:r>
            <w:proofErr w:type="spellEnd"/>
            <w:r w:rsidRPr="007667C7">
              <w:rPr>
                <w:rFonts w:ascii="Arial" w:hAnsi="Arial"/>
                <w:sz w:val="14"/>
              </w:rPr>
              <w:t>. 137—</w:t>
            </w:r>
            <w:proofErr w:type="spellStart"/>
            <w:r w:rsidRPr="007667C7">
              <w:rPr>
                <w:rFonts w:ascii="Arial" w:hAnsi="Arial"/>
                <w:sz w:val="14"/>
              </w:rPr>
              <w:t>Hammel</w:t>
            </w:r>
            <w:proofErr w:type="spellEnd"/>
            <w:r w:rsidRPr="007667C7">
              <w:rPr>
                <w:rFonts w:ascii="Arial" w:hAnsi="Arial"/>
                <w:sz w:val="14"/>
              </w:rPr>
              <w:t xml:space="preserve"> v. Madison Square Garden Corporation, 279 N.Y.S. 815, 156 Misc. 311.</w:t>
            </w:r>
          </w:p>
          <w:p w14:paraId="34B82277" w14:textId="77777777" w:rsidR="00DC54EA" w:rsidRPr="007667C7" w:rsidRDefault="00DC54EA">
            <w:pPr>
              <w:tabs>
                <w:tab w:val="left" w:pos="-4040"/>
                <w:tab w:val="left" w:pos="-1160"/>
              </w:tabs>
              <w:ind w:left="180" w:hanging="180"/>
              <w:jc w:val="both"/>
              <w:rPr>
                <w:rFonts w:ascii="Arial" w:hAnsi="Arial"/>
                <w:sz w:val="8"/>
              </w:rPr>
            </w:pPr>
          </w:p>
          <w:p w14:paraId="170F04F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     (6</w:t>
            </w:r>
            <w:proofErr w:type="gramStart"/>
            <w:r w:rsidRPr="007667C7">
              <w:rPr>
                <w:rFonts w:ascii="Arial" w:hAnsi="Arial"/>
                <w:sz w:val="14"/>
              </w:rPr>
              <w:t>)     Horse</w:t>
            </w:r>
            <w:proofErr w:type="gramEnd"/>
            <w:r w:rsidRPr="007667C7">
              <w:rPr>
                <w:rFonts w:ascii="Arial" w:hAnsi="Arial"/>
                <w:sz w:val="14"/>
              </w:rPr>
              <w:t xml:space="preserve"> racing.</w:t>
            </w:r>
          </w:p>
          <w:p w14:paraId="363DB053"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Nev.—Hotels El Rancho v. Pray, 187 P.2d 568, 64 Nev. 591.</w:t>
            </w:r>
          </w:p>
          <w:p w14:paraId="77A2360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N.Y.—</w:t>
            </w:r>
            <w:proofErr w:type="spellStart"/>
            <w:r w:rsidRPr="007667C7">
              <w:rPr>
                <w:rFonts w:ascii="Arial" w:hAnsi="Arial"/>
                <w:sz w:val="14"/>
              </w:rPr>
              <w:t>Futterer</w:t>
            </w:r>
            <w:proofErr w:type="spellEnd"/>
            <w:r w:rsidRPr="007667C7">
              <w:rPr>
                <w:rFonts w:ascii="Arial" w:hAnsi="Arial"/>
                <w:sz w:val="14"/>
              </w:rPr>
              <w:t xml:space="preserve"> v. Saratoga </w:t>
            </w:r>
            <w:proofErr w:type="spellStart"/>
            <w:r w:rsidRPr="007667C7">
              <w:rPr>
                <w:rFonts w:ascii="Arial" w:hAnsi="Arial"/>
                <w:sz w:val="14"/>
              </w:rPr>
              <w:t>Ass’n</w:t>
            </w:r>
            <w:proofErr w:type="spellEnd"/>
            <w:r w:rsidRPr="007667C7">
              <w:rPr>
                <w:rFonts w:ascii="Arial" w:hAnsi="Arial"/>
                <w:sz w:val="14"/>
              </w:rPr>
              <w:t xml:space="preserve"> for Improvement of Breed of Horses, 31 N.Y.S.2d 108, 262 </w:t>
            </w:r>
            <w:proofErr w:type="spellStart"/>
            <w:r w:rsidRPr="007667C7">
              <w:rPr>
                <w:rFonts w:ascii="Arial" w:hAnsi="Arial"/>
                <w:sz w:val="14"/>
              </w:rPr>
              <w:t>App.Div</w:t>
            </w:r>
            <w:proofErr w:type="spellEnd"/>
            <w:r w:rsidRPr="007667C7">
              <w:rPr>
                <w:rFonts w:ascii="Arial" w:hAnsi="Arial"/>
                <w:sz w:val="14"/>
              </w:rPr>
              <w:t>. 675.</w:t>
            </w:r>
          </w:p>
          <w:p w14:paraId="6EF2AF2C" w14:textId="06CDD2F8"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(7</w:t>
            </w:r>
            <w:proofErr w:type="gramStart"/>
            <w:r w:rsidRPr="007667C7">
              <w:rPr>
                <w:rFonts w:ascii="Arial" w:hAnsi="Arial"/>
                <w:sz w:val="14"/>
              </w:rPr>
              <w:t>)     Ice</w:t>
            </w:r>
            <w:proofErr w:type="gramEnd"/>
            <w:r w:rsidRPr="007667C7">
              <w:rPr>
                <w:rFonts w:ascii="Arial" w:hAnsi="Arial"/>
                <w:sz w:val="14"/>
              </w:rPr>
              <w:t xml:space="preserve"> skating.</w:t>
            </w:r>
          </w:p>
          <w:p w14:paraId="6F3712AF"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Neb.—McCullough v. Omaha Coliseum Corporation, 12 N.W.2d 639, 144 Neb. 92.</w:t>
            </w:r>
          </w:p>
          <w:p w14:paraId="2ED4AC66"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 xml:space="preserve">N.D.—Filler v. </w:t>
            </w:r>
            <w:proofErr w:type="spellStart"/>
            <w:r w:rsidRPr="007667C7">
              <w:rPr>
                <w:rFonts w:ascii="Arial" w:hAnsi="Arial"/>
                <w:sz w:val="14"/>
              </w:rPr>
              <w:t>Stenvick</w:t>
            </w:r>
            <w:proofErr w:type="spellEnd"/>
            <w:r w:rsidRPr="007667C7">
              <w:rPr>
                <w:rFonts w:ascii="Arial" w:hAnsi="Arial"/>
                <w:sz w:val="14"/>
              </w:rPr>
              <w:t>, 56 N.W.2d 798.</w:t>
            </w:r>
          </w:p>
          <w:p w14:paraId="2FE6A364" w14:textId="77777777" w:rsidR="00DC54EA" w:rsidRPr="007667C7" w:rsidRDefault="00DC54EA">
            <w:pPr>
              <w:tabs>
                <w:tab w:val="left" w:pos="-4040"/>
                <w:tab w:val="left" w:pos="-1160"/>
              </w:tabs>
              <w:ind w:left="180" w:hanging="180"/>
              <w:jc w:val="both"/>
              <w:rPr>
                <w:rFonts w:ascii="Arial" w:hAnsi="Arial"/>
                <w:sz w:val="14"/>
              </w:rPr>
            </w:pPr>
            <w:r w:rsidRPr="007667C7">
              <w:rPr>
                <w:rFonts w:ascii="Arial" w:hAnsi="Arial"/>
                <w:sz w:val="14"/>
              </w:rPr>
              <w:t>Pa.—</w:t>
            </w:r>
            <w:proofErr w:type="spellStart"/>
            <w:r w:rsidRPr="007667C7">
              <w:rPr>
                <w:rFonts w:ascii="Arial" w:hAnsi="Arial"/>
                <w:sz w:val="14"/>
              </w:rPr>
              <w:t>Oberheim</w:t>
            </w:r>
            <w:proofErr w:type="spellEnd"/>
            <w:r w:rsidRPr="007667C7">
              <w:rPr>
                <w:rFonts w:ascii="Arial" w:hAnsi="Arial"/>
                <w:sz w:val="14"/>
              </w:rPr>
              <w:t xml:space="preserve"> v. Pennsylvania Sports &amp; Enterprises, 55 A.2d 766, 358 Pa. 62.</w:t>
            </w:r>
          </w:p>
          <w:p w14:paraId="3E17011B" w14:textId="77777777" w:rsidR="00DC54EA" w:rsidRPr="009A13E9" w:rsidRDefault="00DC54EA">
            <w:pPr>
              <w:tabs>
                <w:tab w:val="left" w:pos="-4040"/>
                <w:tab w:val="left" w:pos="-1160"/>
              </w:tabs>
              <w:jc w:val="both"/>
              <w:rPr>
                <w:rFonts w:ascii="New Century Schlbk" w:hAnsi="New Century Schlbk"/>
                <w:sz w:val="14"/>
              </w:rPr>
            </w:pPr>
            <w:r w:rsidRPr="007667C7">
              <w:rPr>
                <w:rFonts w:ascii="Arial" w:hAnsi="Arial"/>
                <w:sz w:val="14"/>
              </w:rPr>
              <w:t>(8</w:t>
            </w:r>
            <w:proofErr w:type="gramStart"/>
            <w:r w:rsidRPr="007667C7">
              <w:rPr>
                <w:rFonts w:ascii="Arial" w:hAnsi="Arial"/>
                <w:sz w:val="14"/>
              </w:rPr>
              <w:t xml:space="preserve">)   </w:t>
            </w:r>
            <w:proofErr w:type="gramEnd"/>
            <w:r w:rsidRPr="007667C7">
              <w:rPr>
                <w:rFonts w:ascii="Arial" w:hAnsi="Arial"/>
                <w:sz w:val="14"/>
              </w:rPr>
              <w:t>Square dancing</w:t>
            </w:r>
            <w:proofErr w:type="gramStart"/>
            <w:r w:rsidRPr="007667C7">
              <w:rPr>
                <w:rFonts w:ascii="Arial" w:hAnsi="Arial"/>
                <w:sz w:val="14"/>
              </w:rPr>
              <w:t>.—</w:t>
            </w:r>
            <w:proofErr w:type="gramEnd"/>
            <w:r w:rsidRPr="007667C7">
              <w:rPr>
                <w:rFonts w:ascii="Arial" w:hAnsi="Arial"/>
                <w:sz w:val="14"/>
              </w:rPr>
              <w:t xml:space="preserve">Gough v. </w:t>
            </w:r>
            <w:proofErr w:type="spellStart"/>
            <w:r w:rsidRPr="007667C7">
              <w:rPr>
                <w:rFonts w:ascii="Arial" w:hAnsi="Arial"/>
                <w:sz w:val="14"/>
              </w:rPr>
              <w:t>Wadhams</w:t>
            </w:r>
            <w:proofErr w:type="spellEnd"/>
            <w:r w:rsidRPr="007667C7">
              <w:rPr>
                <w:rFonts w:ascii="Arial" w:hAnsi="Arial"/>
                <w:sz w:val="14"/>
              </w:rPr>
              <w:t xml:space="preserve"> Mills Grange No. 1015, P. of H., 109 N.Y.S.2d 374.</w:t>
            </w:r>
          </w:p>
        </w:tc>
      </w:tr>
      <w:tr w:rsidR="00DC54EA" w:rsidRPr="007667C7" w14:paraId="1C48A5E1" w14:textId="77777777">
        <w:tc>
          <w:tcPr>
            <w:tcW w:w="3480" w:type="dxa"/>
            <w:tcBorders>
              <w:left w:val="single" w:sz="12" w:space="0" w:color="auto"/>
              <w:bottom w:val="single" w:sz="12" w:space="0" w:color="auto"/>
              <w:right w:val="single" w:sz="6" w:space="0" w:color="auto"/>
            </w:tcBorders>
          </w:tcPr>
          <w:p w14:paraId="6A730A3D" w14:textId="77777777" w:rsidR="00DC54EA" w:rsidRPr="007667C7" w:rsidRDefault="00DC54EA">
            <w:pPr>
              <w:ind w:left="360" w:right="80" w:hanging="180"/>
              <w:jc w:val="both"/>
              <w:rPr>
                <w:rFonts w:ascii="Arial" w:hAnsi="Arial"/>
                <w:b/>
                <w:sz w:val="14"/>
              </w:rPr>
            </w:pPr>
          </w:p>
        </w:tc>
        <w:tc>
          <w:tcPr>
            <w:tcW w:w="3480" w:type="dxa"/>
            <w:gridSpan w:val="2"/>
            <w:tcBorders>
              <w:bottom w:val="single" w:sz="12" w:space="0" w:color="auto"/>
              <w:right w:val="single" w:sz="6" w:space="0" w:color="auto"/>
            </w:tcBorders>
          </w:tcPr>
          <w:p w14:paraId="5A5CA4CB" w14:textId="77777777" w:rsidR="00DC54EA" w:rsidRPr="009A13E9" w:rsidRDefault="00DC54EA">
            <w:pPr>
              <w:ind w:left="180" w:right="80" w:hanging="180"/>
              <w:jc w:val="both"/>
              <w:rPr>
                <w:rFonts w:ascii="New Century Schlbk" w:hAnsi="New Century Schlbk"/>
                <w:sz w:val="14"/>
              </w:rPr>
            </w:pPr>
          </w:p>
        </w:tc>
        <w:tc>
          <w:tcPr>
            <w:tcW w:w="3480" w:type="dxa"/>
            <w:tcBorders>
              <w:bottom w:val="single" w:sz="12" w:space="0" w:color="auto"/>
              <w:right w:val="single" w:sz="12" w:space="0" w:color="auto"/>
            </w:tcBorders>
          </w:tcPr>
          <w:p w14:paraId="2F2AE965" w14:textId="77777777" w:rsidR="00DC54EA" w:rsidRPr="007667C7" w:rsidRDefault="00DC54EA">
            <w:pPr>
              <w:tabs>
                <w:tab w:val="left" w:pos="-4040"/>
                <w:tab w:val="left" w:pos="-1160"/>
              </w:tabs>
              <w:ind w:left="180" w:hanging="180"/>
              <w:jc w:val="both"/>
              <w:rPr>
                <w:rFonts w:ascii="Arial" w:hAnsi="Arial"/>
                <w:sz w:val="14"/>
              </w:rPr>
            </w:pPr>
          </w:p>
        </w:tc>
      </w:tr>
    </w:tbl>
    <w:p w14:paraId="37B5AEDC" w14:textId="77777777" w:rsidR="009B4805" w:rsidRPr="007667C7" w:rsidRDefault="009B4805" w:rsidP="009B4805">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9B4805" w:rsidRPr="009A13E9" w14:paraId="5C3DFDBA" w14:textId="77777777" w:rsidTr="00C335D8">
        <w:tc>
          <w:tcPr>
            <w:tcW w:w="10440" w:type="dxa"/>
            <w:tcBorders>
              <w:top w:val="single" w:sz="12" w:space="0" w:color="auto"/>
              <w:left w:val="single" w:sz="12" w:space="0" w:color="auto"/>
              <w:right w:val="single" w:sz="12" w:space="0" w:color="auto"/>
            </w:tcBorders>
          </w:tcPr>
          <w:p w14:paraId="50020690" w14:textId="77777777" w:rsidR="009B4805" w:rsidRPr="007667C7" w:rsidRDefault="009B4805" w:rsidP="00C335D8">
            <w:pPr>
              <w:ind w:left="360" w:right="200"/>
              <w:jc w:val="center"/>
              <w:rPr>
                <w:rFonts w:ascii="Arial" w:hAnsi="Arial"/>
                <w:b/>
                <w:sz w:val="16"/>
              </w:rPr>
            </w:pPr>
          </w:p>
          <w:p w14:paraId="78C29794" w14:textId="77777777" w:rsidR="009B4805" w:rsidRPr="009A13E9" w:rsidRDefault="009B4805" w:rsidP="00C335D8">
            <w:pPr>
              <w:pStyle w:val="Heading2"/>
              <w:rPr>
                <w:b w:val="0"/>
                <w:sz w:val="20"/>
              </w:rPr>
            </w:pPr>
            <w:r w:rsidRPr="007667C7">
              <w:rPr>
                <w:rFonts w:ascii="Arial" w:hAnsi="Arial"/>
                <w:sz w:val="20"/>
              </w:rPr>
              <w:t>Additional Background—</w:t>
            </w:r>
          </w:p>
        </w:tc>
      </w:tr>
      <w:tr w:rsidR="009B4805" w:rsidRPr="007667C7" w14:paraId="7AF183DC" w14:textId="77777777" w:rsidTr="00C335D8">
        <w:tc>
          <w:tcPr>
            <w:tcW w:w="10440" w:type="dxa"/>
            <w:tcBorders>
              <w:left w:val="single" w:sz="12" w:space="0" w:color="auto"/>
              <w:right w:val="single" w:sz="12" w:space="0" w:color="auto"/>
            </w:tcBorders>
          </w:tcPr>
          <w:p w14:paraId="513BB73D" w14:textId="77777777" w:rsidR="009B4805" w:rsidRPr="009A13E9" w:rsidRDefault="009B4805" w:rsidP="00C335D8">
            <w:pPr>
              <w:ind w:left="360" w:right="200"/>
              <w:jc w:val="center"/>
              <w:rPr>
                <w:rFonts w:ascii="New Century Schlbk" w:hAnsi="New Century Schlbk"/>
                <w:sz w:val="16"/>
              </w:rPr>
            </w:pPr>
          </w:p>
        </w:tc>
      </w:tr>
      <w:tr w:rsidR="009B4805" w:rsidRPr="009A13E9" w14:paraId="60A38818" w14:textId="77777777" w:rsidTr="00C335D8">
        <w:tc>
          <w:tcPr>
            <w:tcW w:w="10440" w:type="dxa"/>
            <w:tcBorders>
              <w:left w:val="single" w:sz="12" w:space="0" w:color="auto"/>
              <w:right w:val="single" w:sz="12" w:space="0" w:color="auto"/>
            </w:tcBorders>
          </w:tcPr>
          <w:p w14:paraId="1E5C93EC" w14:textId="77777777" w:rsidR="009B4805" w:rsidRPr="009A13E9" w:rsidRDefault="009B4805" w:rsidP="00C335D8">
            <w:pPr>
              <w:pStyle w:val="Heading2"/>
              <w:rPr>
                <w:b w:val="0"/>
                <w:smallCaps w:val="0"/>
                <w:sz w:val="20"/>
              </w:rPr>
            </w:pPr>
            <w:r w:rsidRPr="007667C7">
              <w:rPr>
                <w:rFonts w:ascii="Arial" w:hAnsi="Arial"/>
                <w:smallCaps w:val="0"/>
              </w:rPr>
              <w:t>United States Code</w:t>
            </w:r>
          </w:p>
        </w:tc>
      </w:tr>
      <w:tr w:rsidR="009B4805" w:rsidRPr="009A13E9" w14:paraId="76877E17" w14:textId="77777777" w:rsidTr="00C335D8">
        <w:tc>
          <w:tcPr>
            <w:tcW w:w="10440" w:type="dxa"/>
            <w:tcBorders>
              <w:left w:val="single" w:sz="12" w:space="0" w:color="auto"/>
              <w:right w:val="single" w:sz="12" w:space="0" w:color="auto"/>
            </w:tcBorders>
          </w:tcPr>
          <w:p w14:paraId="7CA8E5DE" w14:textId="77777777" w:rsidR="009B4805" w:rsidRPr="009A13E9" w:rsidRDefault="009B4805" w:rsidP="00C335D8">
            <w:pPr>
              <w:ind w:left="360" w:right="200"/>
              <w:jc w:val="center"/>
              <w:rPr>
                <w:rFonts w:ascii="New Century Schlbk" w:hAnsi="New Century Schlbk"/>
                <w:sz w:val="16"/>
              </w:rPr>
            </w:pPr>
          </w:p>
        </w:tc>
      </w:tr>
      <w:tr w:rsidR="009B4805" w:rsidRPr="009A13E9" w14:paraId="7A1C66F4" w14:textId="77777777" w:rsidTr="00C335D8">
        <w:tc>
          <w:tcPr>
            <w:tcW w:w="10440" w:type="dxa"/>
            <w:tcBorders>
              <w:left w:val="single" w:sz="12" w:space="0" w:color="auto"/>
              <w:right w:val="single" w:sz="12" w:space="0" w:color="auto"/>
            </w:tcBorders>
          </w:tcPr>
          <w:p w14:paraId="46FD2FB7"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ab/>
              <w:t>Until 1926, federal statutes were published in one volume of the Revised Statutes of 1875 and in each subsequent volume of the Statutes at Large.  In 1926, these laws were rearranged into fifty sub</w:t>
            </w:r>
            <w:r w:rsidRPr="007667C7">
              <w:rPr>
                <w:rFonts w:ascii="Arial" w:hAnsi="Arial"/>
                <w:sz w:val="20"/>
              </w:rPr>
              <w:softHyphen/>
              <w:t>ject ar</w:t>
            </w:r>
            <w:r w:rsidRPr="007667C7">
              <w:rPr>
                <w:rFonts w:ascii="Arial" w:hAnsi="Arial"/>
                <w:sz w:val="20"/>
              </w:rPr>
              <w:softHyphen/>
              <w:t xml:space="preserve">eas and republished as the </w:t>
            </w:r>
            <w:r w:rsidRPr="007667C7">
              <w:rPr>
                <w:rFonts w:ascii="Arial" w:hAnsi="Arial"/>
                <w:b/>
                <w:sz w:val="20"/>
              </w:rPr>
              <w:t>United States Code</w:t>
            </w:r>
            <w:r w:rsidRPr="007667C7">
              <w:rPr>
                <w:rFonts w:ascii="Arial" w:hAnsi="Arial"/>
                <w:sz w:val="20"/>
              </w:rPr>
              <w:t>.  In the United States Code, all federal laws of a public and permanent nature are compiled according to subject.  Subjects are assigned titles and title numbers.  Within each title, subjects are further subdivided, and each statute is given a section number.  The fol</w:t>
            </w:r>
            <w:r w:rsidRPr="007667C7">
              <w:rPr>
                <w:rFonts w:ascii="Arial" w:hAnsi="Arial"/>
                <w:sz w:val="20"/>
              </w:rPr>
              <w:softHyphen/>
              <w:t>lowing is the text of Section 1 of Title 15 of the United States Code (15 U.S.C. § 1).</w:t>
            </w:r>
          </w:p>
        </w:tc>
      </w:tr>
      <w:tr w:rsidR="009B4805" w:rsidRPr="009A13E9" w14:paraId="4845805B" w14:textId="77777777" w:rsidTr="00C335D8">
        <w:tc>
          <w:tcPr>
            <w:tcW w:w="10440" w:type="dxa"/>
            <w:tcBorders>
              <w:left w:val="single" w:sz="12" w:space="0" w:color="auto"/>
              <w:right w:val="single" w:sz="12" w:space="0" w:color="auto"/>
            </w:tcBorders>
          </w:tcPr>
          <w:p w14:paraId="2EA698ED" w14:textId="77777777" w:rsidR="009B4805" w:rsidRPr="009A13E9" w:rsidRDefault="009B4805" w:rsidP="00C335D8">
            <w:pPr>
              <w:ind w:left="360" w:right="200"/>
              <w:jc w:val="center"/>
              <w:rPr>
                <w:rFonts w:ascii="New Century Schlbk" w:hAnsi="New Century Schlbk"/>
                <w:sz w:val="16"/>
              </w:rPr>
            </w:pPr>
          </w:p>
        </w:tc>
      </w:tr>
      <w:tr w:rsidR="009B4805" w:rsidRPr="009A13E9" w14:paraId="730255CC" w14:textId="77777777" w:rsidTr="00C335D8">
        <w:tc>
          <w:tcPr>
            <w:tcW w:w="10440" w:type="dxa"/>
            <w:tcBorders>
              <w:left w:val="single" w:sz="12" w:space="0" w:color="auto"/>
              <w:right w:val="single" w:sz="12" w:space="0" w:color="auto"/>
            </w:tcBorders>
          </w:tcPr>
          <w:p w14:paraId="2D5A0F1B" w14:textId="77777777" w:rsidR="009B4805" w:rsidRPr="009A13E9" w:rsidRDefault="009B4805" w:rsidP="00C335D8">
            <w:pPr>
              <w:ind w:left="360" w:right="200"/>
              <w:jc w:val="center"/>
              <w:rPr>
                <w:rFonts w:ascii="New Century Schlbk" w:hAnsi="New Century Schlbk"/>
                <w:sz w:val="20"/>
              </w:rPr>
            </w:pPr>
            <w:r w:rsidRPr="007667C7">
              <w:rPr>
                <w:rFonts w:ascii="Arial" w:hAnsi="Arial"/>
                <w:sz w:val="20"/>
              </w:rPr>
              <w:t>TITLE 15.  COMMERCE AND TRADE</w:t>
            </w:r>
          </w:p>
        </w:tc>
      </w:tr>
      <w:tr w:rsidR="009B4805" w:rsidRPr="009A13E9" w14:paraId="6184FD5D" w14:textId="77777777" w:rsidTr="00C335D8">
        <w:tc>
          <w:tcPr>
            <w:tcW w:w="10440" w:type="dxa"/>
            <w:tcBorders>
              <w:left w:val="single" w:sz="12" w:space="0" w:color="auto"/>
              <w:right w:val="single" w:sz="12" w:space="0" w:color="auto"/>
            </w:tcBorders>
          </w:tcPr>
          <w:p w14:paraId="3BA26EE4" w14:textId="77777777" w:rsidR="009B4805" w:rsidRPr="009A13E9" w:rsidRDefault="009B4805" w:rsidP="00C335D8">
            <w:pPr>
              <w:ind w:left="360" w:right="200"/>
              <w:jc w:val="center"/>
              <w:rPr>
                <w:rFonts w:ascii="New Century Schlbk" w:hAnsi="New Century Schlbk"/>
                <w:sz w:val="20"/>
              </w:rPr>
            </w:pPr>
            <w:r w:rsidRPr="007667C7">
              <w:rPr>
                <w:rFonts w:ascii="Arial" w:hAnsi="Arial"/>
                <w:sz w:val="20"/>
              </w:rPr>
              <w:t>CHAPTER 1—MONOPOLIES AND COMBINATIONS IN RESTRAINT OF TRADE</w:t>
            </w:r>
          </w:p>
        </w:tc>
      </w:tr>
      <w:tr w:rsidR="009B4805" w:rsidRPr="009A13E9" w14:paraId="72C98032" w14:textId="77777777" w:rsidTr="00C335D8">
        <w:tc>
          <w:tcPr>
            <w:tcW w:w="10440" w:type="dxa"/>
            <w:tcBorders>
              <w:left w:val="single" w:sz="12" w:space="0" w:color="auto"/>
              <w:right w:val="single" w:sz="12" w:space="0" w:color="auto"/>
            </w:tcBorders>
          </w:tcPr>
          <w:p w14:paraId="45F8BF23" w14:textId="77777777" w:rsidR="009B4805" w:rsidRPr="009A13E9" w:rsidRDefault="009B4805" w:rsidP="00C335D8">
            <w:pPr>
              <w:ind w:left="360" w:right="200"/>
              <w:jc w:val="both"/>
              <w:rPr>
                <w:rFonts w:ascii="New Century Schlbk" w:hAnsi="New Century Schlbk"/>
                <w:sz w:val="16"/>
              </w:rPr>
            </w:pPr>
          </w:p>
        </w:tc>
      </w:tr>
      <w:tr w:rsidR="009B4805" w:rsidRPr="009A13E9" w14:paraId="603E0A96" w14:textId="77777777" w:rsidTr="00C335D8">
        <w:tc>
          <w:tcPr>
            <w:tcW w:w="10440" w:type="dxa"/>
            <w:tcBorders>
              <w:left w:val="single" w:sz="12" w:space="0" w:color="auto"/>
              <w:right w:val="single" w:sz="12" w:space="0" w:color="auto"/>
            </w:tcBorders>
          </w:tcPr>
          <w:p w14:paraId="3748003E"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 1. Trusts, etc., in restraint of trade illegal</w:t>
            </w:r>
            <w:proofErr w:type="gramStart"/>
            <w:r w:rsidRPr="007667C7">
              <w:rPr>
                <w:rFonts w:ascii="Arial" w:hAnsi="Arial"/>
                <w:sz w:val="20"/>
              </w:rPr>
              <w:t>;  penalty</w:t>
            </w:r>
            <w:proofErr w:type="gramEnd"/>
          </w:p>
        </w:tc>
      </w:tr>
      <w:tr w:rsidR="009B4805" w:rsidRPr="009A13E9" w14:paraId="0B3C7882" w14:textId="77777777" w:rsidTr="00C335D8">
        <w:tc>
          <w:tcPr>
            <w:tcW w:w="10440" w:type="dxa"/>
            <w:tcBorders>
              <w:left w:val="single" w:sz="12" w:space="0" w:color="auto"/>
              <w:right w:val="single" w:sz="12" w:space="0" w:color="auto"/>
            </w:tcBorders>
          </w:tcPr>
          <w:p w14:paraId="472901F2" w14:textId="77777777" w:rsidR="009B4805" w:rsidRPr="009A13E9" w:rsidRDefault="009B4805" w:rsidP="00C335D8">
            <w:pPr>
              <w:ind w:left="360" w:right="200"/>
              <w:jc w:val="both"/>
              <w:rPr>
                <w:rFonts w:ascii="New Century Schlbk" w:hAnsi="New Century Schlbk"/>
                <w:sz w:val="16"/>
              </w:rPr>
            </w:pPr>
          </w:p>
        </w:tc>
      </w:tr>
      <w:tr w:rsidR="009B4805" w:rsidRPr="009A13E9" w14:paraId="3DB002B1" w14:textId="77777777" w:rsidTr="00C335D8">
        <w:tc>
          <w:tcPr>
            <w:tcW w:w="10440" w:type="dxa"/>
            <w:tcBorders>
              <w:left w:val="single" w:sz="12" w:space="0" w:color="auto"/>
              <w:right w:val="single" w:sz="12" w:space="0" w:color="auto"/>
            </w:tcBorders>
          </w:tcPr>
          <w:p w14:paraId="29E7D3AB"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Every contract, combination in the form of trust or otherwise, or conspiracy, in restraint of trade or com</w:t>
            </w:r>
            <w:r w:rsidRPr="007667C7">
              <w:rPr>
                <w:rFonts w:ascii="Arial" w:hAnsi="Arial"/>
                <w:sz w:val="20"/>
              </w:rPr>
              <w:softHyphen/>
              <w:t>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w:t>
            </w:r>
            <w:r w:rsidRPr="007667C7">
              <w:rPr>
                <w:rFonts w:ascii="Arial" w:hAnsi="Arial"/>
                <w:sz w:val="20"/>
              </w:rPr>
              <w:softHyphen/>
              <w:t>lion dollars if a corporation, or, if any other person, one hundred thousand dollars, or by im</w:t>
            </w:r>
            <w:r w:rsidRPr="007667C7">
              <w:rPr>
                <w:rFonts w:ascii="Arial" w:hAnsi="Arial"/>
                <w:sz w:val="20"/>
              </w:rPr>
              <w:softHyphen/>
              <w:t>prisonment not exceeding three years, or by both said punishments, in the discretion of the court.</w:t>
            </w:r>
          </w:p>
        </w:tc>
      </w:tr>
      <w:tr w:rsidR="009B4805" w:rsidRPr="009A13E9" w14:paraId="2BDEF032" w14:textId="77777777" w:rsidTr="00C335D8">
        <w:tc>
          <w:tcPr>
            <w:tcW w:w="10440" w:type="dxa"/>
            <w:tcBorders>
              <w:left w:val="single" w:sz="12" w:space="0" w:color="auto"/>
              <w:right w:val="single" w:sz="12" w:space="0" w:color="auto"/>
            </w:tcBorders>
          </w:tcPr>
          <w:p w14:paraId="2464034A" w14:textId="77777777" w:rsidR="009B4805" w:rsidRPr="009A13E9" w:rsidRDefault="009B4805" w:rsidP="00C335D8">
            <w:pPr>
              <w:ind w:left="360" w:right="200"/>
              <w:jc w:val="both"/>
              <w:rPr>
                <w:rFonts w:ascii="New Century Schlbk" w:hAnsi="New Century Schlbk"/>
                <w:sz w:val="16"/>
              </w:rPr>
            </w:pPr>
          </w:p>
        </w:tc>
      </w:tr>
      <w:tr w:rsidR="009B4805" w:rsidRPr="009A13E9" w14:paraId="0E4E5076" w14:textId="77777777" w:rsidTr="00C335D8">
        <w:tc>
          <w:tcPr>
            <w:tcW w:w="10440" w:type="dxa"/>
            <w:tcBorders>
              <w:left w:val="single" w:sz="12" w:space="0" w:color="auto"/>
              <w:right w:val="single" w:sz="12" w:space="0" w:color="auto"/>
            </w:tcBorders>
          </w:tcPr>
          <w:p w14:paraId="22B17E7D"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(July 2, 1890, c. 647, § 1, 26 Stat. 209</w:t>
            </w:r>
            <w:proofErr w:type="gramStart"/>
            <w:r w:rsidRPr="007667C7">
              <w:rPr>
                <w:rFonts w:ascii="Arial" w:hAnsi="Arial"/>
                <w:sz w:val="20"/>
              </w:rPr>
              <w:t>;  Aug</w:t>
            </w:r>
            <w:proofErr w:type="gramEnd"/>
            <w:r w:rsidRPr="007667C7">
              <w:rPr>
                <w:rFonts w:ascii="Arial" w:hAnsi="Arial"/>
                <w:sz w:val="20"/>
              </w:rPr>
              <w:t>. 17, 1937, c. 690, Title VIII, 50 Stat. 693;  July 7, 1955, c. 281, 69 Stat. 282.)</w:t>
            </w:r>
          </w:p>
        </w:tc>
      </w:tr>
      <w:tr w:rsidR="009B4805" w:rsidRPr="009A13E9" w14:paraId="37DCE1DF" w14:textId="77777777" w:rsidTr="00C335D8">
        <w:tc>
          <w:tcPr>
            <w:tcW w:w="10440" w:type="dxa"/>
            <w:tcBorders>
              <w:left w:val="single" w:sz="12" w:space="0" w:color="auto"/>
              <w:right w:val="single" w:sz="12" w:space="0" w:color="auto"/>
            </w:tcBorders>
          </w:tcPr>
          <w:p w14:paraId="6D718A8B" w14:textId="77777777" w:rsidR="009B4805" w:rsidRPr="009A13E9" w:rsidRDefault="009B4805" w:rsidP="00C335D8">
            <w:pPr>
              <w:ind w:left="360" w:right="200"/>
              <w:jc w:val="both"/>
              <w:rPr>
                <w:rFonts w:ascii="New Century Schlbk" w:hAnsi="New Century Schlbk"/>
                <w:sz w:val="16"/>
              </w:rPr>
            </w:pPr>
          </w:p>
        </w:tc>
      </w:tr>
      <w:tr w:rsidR="009B4805" w:rsidRPr="009A13E9" w14:paraId="228D48AF" w14:textId="77777777" w:rsidTr="00C335D8">
        <w:tc>
          <w:tcPr>
            <w:tcW w:w="10440" w:type="dxa"/>
            <w:tcBorders>
              <w:left w:val="single" w:sz="12" w:space="0" w:color="auto"/>
              <w:right w:val="single" w:sz="12" w:space="0" w:color="auto"/>
            </w:tcBorders>
          </w:tcPr>
          <w:p w14:paraId="2FD1E6BA" w14:textId="77777777" w:rsidR="009B4805" w:rsidRPr="009A13E9" w:rsidRDefault="009B4805" w:rsidP="00C335D8">
            <w:pPr>
              <w:ind w:left="360" w:right="200"/>
              <w:jc w:val="both"/>
              <w:rPr>
                <w:rFonts w:ascii="New Century Schlbk" w:hAnsi="New Century Schlbk"/>
                <w:sz w:val="20"/>
              </w:rPr>
            </w:pPr>
            <w:r w:rsidRPr="007667C7">
              <w:rPr>
                <w:rFonts w:ascii="Arial" w:hAnsi="Arial"/>
                <w:sz w:val="20"/>
              </w:rPr>
              <w:t xml:space="preserve">(As amended Dec. 21, 1974, </w:t>
            </w:r>
            <w:proofErr w:type="spellStart"/>
            <w:r w:rsidRPr="007667C7">
              <w:rPr>
                <w:rFonts w:ascii="Arial" w:hAnsi="Arial"/>
                <w:sz w:val="20"/>
              </w:rPr>
              <w:t>Pub.L</w:t>
            </w:r>
            <w:proofErr w:type="spellEnd"/>
            <w:r w:rsidRPr="007667C7">
              <w:rPr>
                <w:rFonts w:ascii="Arial" w:hAnsi="Arial"/>
                <w:sz w:val="20"/>
              </w:rPr>
              <w:t>. 93-528, § 3, 88 Stat. 1708</w:t>
            </w:r>
            <w:proofErr w:type="gramStart"/>
            <w:r w:rsidRPr="007667C7">
              <w:rPr>
                <w:rFonts w:ascii="Arial" w:hAnsi="Arial"/>
                <w:sz w:val="20"/>
              </w:rPr>
              <w:t>;  Dec</w:t>
            </w:r>
            <w:proofErr w:type="gramEnd"/>
            <w:r w:rsidRPr="007667C7">
              <w:rPr>
                <w:rFonts w:ascii="Arial" w:hAnsi="Arial"/>
                <w:sz w:val="20"/>
              </w:rPr>
              <w:t xml:space="preserve">. 12, 1975, </w:t>
            </w:r>
            <w:proofErr w:type="spellStart"/>
            <w:r w:rsidRPr="007667C7">
              <w:rPr>
                <w:rFonts w:ascii="Arial" w:hAnsi="Arial"/>
                <w:sz w:val="20"/>
              </w:rPr>
              <w:t>Pub.L</w:t>
            </w:r>
            <w:proofErr w:type="spellEnd"/>
            <w:r w:rsidRPr="007667C7">
              <w:rPr>
                <w:rFonts w:ascii="Arial" w:hAnsi="Arial"/>
                <w:sz w:val="20"/>
              </w:rPr>
              <w:t>. 94-145, § 2, 89 Stat. 801.)</w:t>
            </w:r>
          </w:p>
        </w:tc>
      </w:tr>
      <w:tr w:rsidR="009B4805" w:rsidRPr="007667C7" w14:paraId="6B7E2B74" w14:textId="77777777" w:rsidTr="00C335D8">
        <w:tc>
          <w:tcPr>
            <w:tcW w:w="10440" w:type="dxa"/>
            <w:tcBorders>
              <w:left w:val="single" w:sz="12" w:space="0" w:color="auto"/>
              <w:bottom w:val="single" w:sz="12" w:space="0" w:color="auto"/>
              <w:right w:val="single" w:sz="12" w:space="0" w:color="auto"/>
            </w:tcBorders>
          </w:tcPr>
          <w:p w14:paraId="212A369F" w14:textId="77777777" w:rsidR="009B4805" w:rsidRPr="007667C7" w:rsidRDefault="009B4805" w:rsidP="00C335D8">
            <w:pPr>
              <w:ind w:left="360" w:right="200"/>
              <w:jc w:val="both"/>
              <w:rPr>
                <w:rFonts w:ascii="Arial" w:hAnsi="Arial"/>
                <w:sz w:val="16"/>
              </w:rPr>
            </w:pPr>
          </w:p>
        </w:tc>
      </w:tr>
    </w:tbl>
    <w:p w14:paraId="2A106894" w14:textId="77777777" w:rsidR="00DC54EA" w:rsidRPr="007667C7" w:rsidRDefault="00DC54E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260EB222" w14:textId="77777777">
        <w:tc>
          <w:tcPr>
            <w:tcW w:w="10440" w:type="dxa"/>
            <w:tcBorders>
              <w:top w:val="single" w:sz="12" w:space="0" w:color="auto"/>
              <w:left w:val="single" w:sz="12" w:space="0" w:color="auto"/>
              <w:right w:val="single" w:sz="12" w:space="0" w:color="auto"/>
            </w:tcBorders>
          </w:tcPr>
          <w:p w14:paraId="5288C650" w14:textId="77777777" w:rsidR="00DC54EA" w:rsidRPr="00134C12" w:rsidRDefault="00DC54EA">
            <w:pPr>
              <w:ind w:left="360" w:right="200"/>
              <w:jc w:val="center"/>
              <w:rPr>
                <w:rFonts w:ascii="Arial" w:hAnsi="Arial"/>
                <w:b/>
                <w:sz w:val="16"/>
                <w:szCs w:val="16"/>
              </w:rPr>
            </w:pPr>
          </w:p>
          <w:p w14:paraId="642CCF04" w14:textId="77777777" w:rsidR="00DC54EA" w:rsidRPr="009A13E9" w:rsidRDefault="00DC54EA">
            <w:pPr>
              <w:ind w:left="360" w:right="200"/>
              <w:jc w:val="center"/>
              <w:rPr>
                <w:rFonts w:ascii="New Century Schlbk" w:hAnsi="New Century Schlbk"/>
                <w:sz w:val="20"/>
              </w:rPr>
            </w:pPr>
            <w:r w:rsidRPr="007667C7">
              <w:rPr>
                <w:rFonts w:ascii="Arial" w:hAnsi="Arial"/>
                <w:b/>
                <w:smallCaps/>
                <w:sz w:val="20"/>
              </w:rPr>
              <w:t>Additional Background—</w:t>
            </w:r>
          </w:p>
        </w:tc>
      </w:tr>
      <w:tr w:rsidR="00DC54EA" w:rsidRPr="007667C7" w14:paraId="2084D77D" w14:textId="77777777">
        <w:tc>
          <w:tcPr>
            <w:tcW w:w="10440" w:type="dxa"/>
            <w:tcBorders>
              <w:left w:val="single" w:sz="12" w:space="0" w:color="auto"/>
              <w:right w:val="single" w:sz="12" w:space="0" w:color="auto"/>
            </w:tcBorders>
          </w:tcPr>
          <w:p w14:paraId="1CD4887D" w14:textId="77777777" w:rsidR="00DC54EA" w:rsidRPr="009A13E9" w:rsidRDefault="00DC54EA">
            <w:pPr>
              <w:ind w:left="360" w:right="200"/>
              <w:jc w:val="center"/>
              <w:rPr>
                <w:rFonts w:ascii="New Century Schlbk" w:hAnsi="New Century Schlbk"/>
                <w:sz w:val="16"/>
              </w:rPr>
            </w:pPr>
          </w:p>
        </w:tc>
      </w:tr>
      <w:tr w:rsidR="00DC54EA" w:rsidRPr="009A13E9" w14:paraId="25572B3B" w14:textId="77777777">
        <w:tc>
          <w:tcPr>
            <w:tcW w:w="10440" w:type="dxa"/>
            <w:tcBorders>
              <w:left w:val="single" w:sz="12" w:space="0" w:color="auto"/>
              <w:right w:val="single" w:sz="12" w:space="0" w:color="auto"/>
            </w:tcBorders>
          </w:tcPr>
          <w:p w14:paraId="234B931B" w14:textId="77777777" w:rsidR="00DC54EA" w:rsidRPr="009A13E9" w:rsidRDefault="00DC54EA">
            <w:pPr>
              <w:ind w:left="360" w:right="200"/>
              <w:jc w:val="center"/>
              <w:rPr>
                <w:rFonts w:ascii="New Century Schlbk" w:hAnsi="New Century Schlbk"/>
                <w:sz w:val="20"/>
              </w:rPr>
            </w:pPr>
            <w:r w:rsidRPr="007667C7">
              <w:rPr>
                <w:rFonts w:ascii="Arial" w:hAnsi="Arial"/>
                <w:b/>
              </w:rPr>
              <w:t>State Codes:</w:t>
            </w:r>
          </w:p>
        </w:tc>
      </w:tr>
      <w:tr w:rsidR="00DC54EA" w:rsidRPr="007667C7" w14:paraId="6A23CDF9" w14:textId="77777777">
        <w:tc>
          <w:tcPr>
            <w:tcW w:w="10440" w:type="dxa"/>
            <w:tcBorders>
              <w:left w:val="single" w:sz="12" w:space="0" w:color="auto"/>
              <w:right w:val="single" w:sz="12" w:space="0" w:color="auto"/>
            </w:tcBorders>
          </w:tcPr>
          <w:p w14:paraId="1C2247A9" w14:textId="77777777" w:rsidR="00DC54EA" w:rsidRPr="009A13E9" w:rsidRDefault="00DC54EA">
            <w:pPr>
              <w:ind w:left="360" w:right="200"/>
              <w:jc w:val="center"/>
              <w:rPr>
                <w:rFonts w:ascii="New Century Schlbk" w:hAnsi="New Century Schlbk"/>
                <w:sz w:val="16"/>
              </w:rPr>
            </w:pPr>
          </w:p>
        </w:tc>
      </w:tr>
      <w:tr w:rsidR="00DC54EA" w:rsidRPr="009A13E9" w14:paraId="27F975A7" w14:textId="77777777">
        <w:tc>
          <w:tcPr>
            <w:tcW w:w="10440" w:type="dxa"/>
            <w:tcBorders>
              <w:left w:val="single" w:sz="12" w:space="0" w:color="auto"/>
              <w:right w:val="single" w:sz="12" w:space="0" w:color="auto"/>
            </w:tcBorders>
          </w:tcPr>
          <w:p w14:paraId="7AA1B068" w14:textId="77777777" w:rsidR="00DC54EA" w:rsidRPr="009A13E9" w:rsidRDefault="00DC54EA">
            <w:pPr>
              <w:pStyle w:val="Heading2"/>
              <w:rPr>
                <w:b w:val="0"/>
                <w:smallCaps w:val="0"/>
                <w:sz w:val="20"/>
              </w:rPr>
            </w:pPr>
            <w:r w:rsidRPr="007667C7">
              <w:rPr>
                <w:rFonts w:ascii="Arial" w:hAnsi="Arial"/>
                <w:smallCaps w:val="0"/>
              </w:rPr>
              <w:t>Pennsylvania Consolidated Statutes</w:t>
            </w:r>
          </w:p>
        </w:tc>
      </w:tr>
      <w:tr w:rsidR="00DC54EA" w:rsidRPr="009A13E9" w14:paraId="6BBA7F70" w14:textId="77777777">
        <w:tc>
          <w:tcPr>
            <w:tcW w:w="10440" w:type="dxa"/>
            <w:tcBorders>
              <w:left w:val="single" w:sz="12" w:space="0" w:color="auto"/>
              <w:right w:val="single" w:sz="12" w:space="0" w:color="auto"/>
            </w:tcBorders>
          </w:tcPr>
          <w:p w14:paraId="2823427D" w14:textId="77777777" w:rsidR="00DC54EA" w:rsidRPr="009A13E9" w:rsidRDefault="00DC54EA">
            <w:pPr>
              <w:ind w:left="360" w:right="200"/>
              <w:jc w:val="center"/>
              <w:rPr>
                <w:rFonts w:ascii="New Century Schlbk" w:hAnsi="New Century Schlbk"/>
                <w:sz w:val="16"/>
              </w:rPr>
            </w:pPr>
          </w:p>
        </w:tc>
      </w:tr>
      <w:tr w:rsidR="00DC54EA" w:rsidRPr="009A13E9" w14:paraId="63C7FF44" w14:textId="77777777">
        <w:tc>
          <w:tcPr>
            <w:tcW w:w="10440" w:type="dxa"/>
            <w:tcBorders>
              <w:left w:val="single" w:sz="12" w:space="0" w:color="auto"/>
              <w:right w:val="single" w:sz="12" w:space="0" w:color="auto"/>
            </w:tcBorders>
          </w:tcPr>
          <w:p w14:paraId="6CB7D735"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 State codes may have any of several names—Codes, General Statutes, Revisions, and so on—de</w:t>
            </w:r>
            <w:r w:rsidRPr="007667C7">
              <w:rPr>
                <w:rFonts w:ascii="Arial" w:hAnsi="Arial"/>
                <w:sz w:val="20"/>
              </w:rPr>
              <w:softHyphen/>
              <w:t xml:space="preserve">pending on the preference of the states.  Also arranged by subject, some codes indicate subjects by numbers.  Others assign names.  The following is the text of one of the state statutes whose citations are explained in the textbook—Section 1101 of Title 13 of the </w:t>
            </w:r>
            <w:r w:rsidRPr="007667C7">
              <w:rPr>
                <w:rFonts w:ascii="Arial" w:hAnsi="Arial"/>
                <w:b/>
                <w:sz w:val="20"/>
              </w:rPr>
              <w:t>Pennsylvania Consolidated Statutes</w:t>
            </w:r>
            <w:r w:rsidRPr="007667C7">
              <w:rPr>
                <w:rFonts w:ascii="Arial" w:hAnsi="Arial"/>
                <w:sz w:val="20"/>
              </w:rPr>
              <w:t xml:space="preserve"> (13 Pa. C.S. § 1101).</w:t>
            </w:r>
          </w:p>
        </w:tc>
      </w:tr>
      <w:tr w:rsidR="00DC54EA" w:rsidRPr="00134C12" w14:paraId="22FDC8DA" w14:textId="77777777">
        <w:tc>
          <w:tcPr>
            <w:tcW w:w="10440" w:type="dxa"/>
            <w:tcBorders>
              <w:left w:val="single" w:sz="12" w:space="0" w:color="auto"/>
              <w:right w:val="single" w:sz="12" w:space="0" w:color="auto"/>
            </w:tcBorders>
          </w:tcPr>
          <w:p w14:paraId="0A98CD04" w14:textId="77777777" w:rsidR="00DC54EA" w:rsidRPr="00134C12" w:rsidRDefault="00DC54EA">
            <w:pPr>
              <w:ind w:left="360" w:right="200"/>
              <w:jc w:val="both"/>
              <w:rPr>
                <w:rFonts w:ascii="New Century Schlbk" w:hAnsi="New Century Schlbk"/>
                <w:sz w:val="16"/>
                <w:szCs w:val="16"/>
              </w:rPr>
            </w:pPr>
          </w:p>
        </w:tc>
      </w:tr>
      <w:tr w:rsidR="00DC54EA" w:rsidRPr="009A13E9" w14:paraId="4981CC7A" w14:textId="77777777">
        <w:tc>
          <w:tcPr>
            <w:tcW w:w="10440" w:type="dxa"/>
            <w:tcBorders>
              <w:left w:val="single" w:sz="12" w:space="0" w:color="auto"/>
              <w:right w:val="single" w:sz="12" w:space="0" w:color="auto"/>
            </w:tcBorders>
          </w:tcPr>
          <w:p w14:paraId="7D0F2816" w14:textId="77777777" w:rsidR="00DC54EA" w:rsidRPr="009A13E9" w:rsidRDefault="00DC54EA">
            <w:pPr>
              <w:ind w:left="360" w:right="200"/>
              <w:jc w:val="center"/>
              <w:rPr>
                <w:rFonts w:ascii="New Century Schlbk" w:hAnsi="New Century Schlbk"/>
                <w:sz w:val="20"/>
              </w:rPr>
            </w:pPr>
            <w:r w:rsidRPr="007667C7">
              <w:rPr>
                <w:rFonts w:ascii="Arial" w:hAnsi="Arial"/>
                <w:sz w:val="20"/>
              </w:rPr>
              <w:t>PURDON’S PENNSYLVANIA CONSOLIDATED STATUTES ANNOTATED</w:t>
            </w:r>
          </w:p>
        </w:tc>
      </w:tr>
      <w:tr w:rsidR="00DC54EA" w:rsidRPr="009A13E9" w14:paraId="53667764" w14:textId="77777777">
        <w:tc>
          <w:tcPr>
            <w:tcW w:w="10440" w:type="dxa"/>
            <w:tcBorders>
              <w:left w:val="single" w:sz="12" w:space="0" w:color="auto"/>
              <w:right w:val="single" w:sz="12" w:space="0" w:color="auto"/>
            </w:tcBorders>
          </w:tcPr>
          <w:p w14:paraId="138E4129" w14:textId="77777777" w:rsidR="00DC54EA" w:rsidRPr="009A13E9" w:rsidRDefault="00DC54EA">
            <w:pPr>
              <w:ind w:left="360" w:right="200"/>
              <w:jc w:val="center"/>
              <w:rPr>
                <w:rFonts w:ascii="New Century Schlbk" w:hAnsi="New Century Schlbk"/>
                <w:sz w:val="20"/>
              </w:rPr>
            </w:pPr>
            <w:r w:rsidRPr="007667C7">
              <w:rPr>
                <w:rFonts w:ascii="Arial" w:hAnsi="Arial"/>
                <w:sz w:val="20"/>
              </w:rPr>
              <w:t>DIVISION 1. GENERAL PROVISIONS</w:t>
            </w:r>
          </w:p>
        </w:tc>
      </w:tr>
      <w:tr w:rsidR="00DC54EA" w:rsidRPr="009A13E9" w14:paraId="043C0284" w14:textId="77777777">
        <w:tc>
          <w:tcPr>
            <w:tcW w:w="10440" w:type="dxa"/>
            <w:tcBorders>
              <w:left w:val="single" w:sz="12" w:space="0" w:color="auto"/>
              <w:right w:val="single" w:sz="12" w:space="0" w:color="auto"/>
            </w:tcBorders>
          </w:tcPr>
          <w:p w14:paraId="1CFF2BB2" w14:textId="77777777" w:rsidR="00DC54EA" w:rsidRPr="009A13E9" w:rsidRDefault="00DC54EA">
            <w:pPr>
              <w:ind w:left="360" w:right="200"/>
              <w:jc w:val="center"/>
              <w:rPr>
                <w:rFonts w:ascii="New Century Schlbk" w:hAnsi="New Century Schlbk"/>
                <w:sz w:val="20"/>
              </w:rPr>
            </w:pPr>
            <w:r w:rsidRPr="007667C7">
              <w:rPr>
                <w:rFonts w:ascii="Arial" w:hAnsi="Arial"/>
                <w:sz w:val="20"/>
              </w:rPr>
              <w:t>CHAPTER 11. SHORT TITLE, CONSTRUCTION, APPLICATION AND SUBJECT MATTER OF TITLE</w:t>
            </w:r>
          </w:p>
        </w:tc>
      </w:tr>
      <w:tr w:rsidR="00DC54EA" w:rsidRPr="009A13E9" w14:paraId="668A1138" w14:textId="77777777">
        <w:tc>
          <w:tcPr>
            <w:tcW w:w="10440" w:type="dxa"/>
            <w:tcBorders>
              <w:left w:val="single" w:sz="12" w:space="0" w:color="auto"/>
              <w:right w:val="single" w:sz="12" w:space="0" w:color="auto"/>
            </w:tcBorders>
          </w:tcPr>
          <w:p w14:paraId="0D3933EF" w14:textId="77777777" w:rsidR="00DC54EA" w:rsidRPr="009A13E9" w:rsidRDefault="00DC54EA">
            <w:pPr>
              <w:ind w:left="360" w:right="200"/>
              <w:jc w:val="both"/>
              <w:rPr>
                <w:rFonts w:ascii="New Century Schlbk" w:hAnsi="New Century Schlbk"/>
                <w:sz w:val="16"/>
              </w:rPr>
            </w:pPr>
          </w:p>
        </w:tc>
      </w:tr>
      <w:tr w:rsidR="00DC54EA" w:rsidRPr="009A13E9" w14:paraId="39BCF2B2" w14:textId="77777777">
        <w:tc>
          <w:tcPr>
            <w:tcW w:w="10440" w:type="dxa"/>
            <w:tcBorders>
              <w:left w:val="single" w:sz="12" w:space="0" w:color="auto"/>
              <w:right w:val="single" w:sz="12" w:space="0" w:color="auto"/>
            </w:tcBorders>
          </w:tcPr>
          <w:p w14:paraId="59C3706D" w14:textId="77777777" w:rsidR="00DC54EA" w:rsidRPr="009A13E9" w:rsidRDefault="00DC54EA">
            <w:pPr>
              <w:ind w:left="360" w:right="200"/>
              <w:jc w:val="both"/>
              <w:rPr>
                <w:rFonts w:ascii="New Century Schlbk" w:hAnsi="New Century Schlbk"/>
                <w:sz w:val="20"/>
              </w:rPr>
            </w:pPr>
            <w:r w:rsidRPr="007667C7">
              <w:rPr>
                <w:rFonts w:ascii="Arial" w:hAnsi="Arial"/>
                <w:sz w:val="20"/>
              </w:rPr>
              <w:t>§ 1101. Short title of title</w:t>
            </w:r>
          </w:p>
        </w:tc>
      </w:tr>
      <w:tr w:rsidR="00DC54EA" w:rsidRPr="009A13E9" w14:paraId="3555F9B6" w14:textId="77777777">
        <w:tc>
          <w:tcPr>
            <w:tcW w:w="10440" w:type="dxa"/>
            <w:tcBorders>
              <w:left w:val="single" w:sz="12" w:space="0" w:color="auto"/>
              <w:right w:val="single" w:sz="12" w:space="0" w:color="auto"/>
            </w:tcBorders>
          </w:tcPr>
          <w:p w14:paraId="20B75C20" w14:textId="77777777" w:rsidR="00DC54EA" w:rsidRPr="009A13E9" w:rsidRDefault="00DC54EA">
            <w:pPr>
              <w:ind w:left="360" w:right="200"/>
              <w:jc w:val="both"/>
              <w:rPr>
                <w:rFonts w:ascii="New Century Schlbk" w:hAnsi="New Century Schlbk"/>
                <w:sz w:val="16"/>
              </w:rPr>
            </w:pPr>
          </w:p>
        </w:tc>
      </w:tr>
      <w:tr w:rsidR="00DC54EA" w:rsidRPr="009A13E9" w14:paraId="0EE4FEF8" w14:textId="77777777">
        <w:tc>
          <w:tcPr>
            <w:tcW w:w="10440" w:type="dxa"/>
            <w:tcBorders>
              <w:left w:val="single" w:sz="12" w:space="0" w:color="auto"/>
              <w:right w:val="single" w:sz="12" w:space="0" w:color="auto"/>
            </w:tcBorders>
          </w:tcPr>
          <w:p w14:paraId="3E599CE6"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This title shall be known and may be cited as the “Uniform Commercial Code.”</w:t>
            </w:r>
          </w:p>
        </w:tc>
      </w:tr>
      <w:tr w:rsidR="00DC54EA" w:rsidRPr="009A13E9" w14:paraId="29D4C1E1" w14:textId="77777777">
        <w:tc>
          <w:tcPr>
            <w:tcW w:w="10440" w:type="dxa"/>
            <w:tcBorders>
              <w:left w:val="single" w:sz="12" w:space="0" w:color="auto"/>
              <w:right w:val="single" w:sz="12" w:space="0" w:color="auto"/>
            </w:tcBorders>
          </w:tcPr>
          <w:p w14:paraId="02163AA7" w14:textId="77777777" w:rsidR="00DC54EA" w:rsidRPr="009A13E9" w:rsidRDefault="00DC54EA">
            <w:pPr>
              <w:ind w:left="360" w:right="200"/>
              <w:jc w:val="both"/>
              <w:rPr>
                <w:rFonts w:ascii="New Century Schlbk" w:hAnsi="New Century Schlbk"/>
                <w:sz w:val="16"/>
              </w:rPr>
            </w:pPr>
          </w:p>
        </w:tc>
      </w:tr>
      <w:tr w:rsidR="00DC54EA" w:rsidRPr="009A13E9" w14:paraId="4D8C92E8" w14:textId="77777777">
        <w:tc>
          <w:tcPr>
            <w:tcW w:w="10440" w:type="dxa"/>
            <w:tcBorders>
              <w:left w:val="single" w:sz="12" w:space="0" w:color="auto"/>
              <w:right w:val="single" w:sz="12" w:space="0" w:color="auto"/>
            </w:tcBorders>
          </w:tcPr>
          <w:p w14:paraId="621EAAD5" w14:textId="77777777" w:rsidR="00DC54EA" w:rsidRPr="009A13E9" w:rsidRDefault="00DC54EA">
            <w:pPr>
              <w:ind w:left="360" w:right="200"/>
              <w:jc w:val="center"/>
              <w:rPr>
                <w:rFonts w:ascii="New Century Schlbk" w:hAnsi="New Century Schlbk"/>
                <w:sz w:val="20"/>
              </w:rPr>
            </w:pPr>
            <w:r w:rsidRPr="007667C7">
              <w:rPr>
                <w:rFonts w:ascii="Arial" w:hAnsi="Arial"/>
                <w:sz w:val="20"/>
              </w:rPr>
              <w:t>1984 Main Volume Credit(s)</w:t>
            </w:r>
          </w:p>
        </w:tc>
      </w:tr>
      <w:tr w:rsidR="00DC54EA" w:rsidRPr="009A13E9" w14:paraId="26AF96CA" w14:textId="77777777">
        <w:tc>
          <w:tcPr>
            <w:tcW w:w="10440" w:type="dxa"/>
            <w:tcBorders>
              <w:left w:val="single" w:sz="12" w:space="0" w:color="auto"/>
              <w:right w:val="single" w:sz="12" w:space="0" w:color="auto"/>
            </w:tcBorders>
          </w:tcPr>
          <w:p w14:paraId="24ECACD8" w14:textId="77777777" w:rsidR="00DC54EA" w:rsidRPr="009A13E9" w:rsidRDefault="00DC54EA">
            <w:pPr>
              <w:ind w:left="360" w:right="200"/>
              <w:jc w:val="center"/>
              <w:rPr>
                <w:rFonts w:ascii="New Century Schlbk" w:hAnsi="New Century Schlbk"/>
                <w:sz w:val="16"/>
              </w:rPr>
            </w:pPr>
          </w:p>
        </w:tc>
      </w:tr>
      <w:tr w:rsidR="00DC54EA" w:rsidRPr="009A13E9" w14:paraId="477978FB" w14:textId="77777777">
        <w:tc>
          <w:tcPr>
            <w:tcW w:w="10440" w:type="dxa"/>
            <w:tcBorders>
              <w:left w:val="single" w:sz="12" w:space="0" w:color="auto"/>
              <w:right w:val="single" w:sz="12" w:space="0" w:color="auto"/>
            </w:tcBorders>
          </w:tcPr>
          <w:p w14:paraId="39387F54" w14:textId="77777777" w:rsidR="00DC54EA" w:rsidRPr="009A13E9" w:rsidRDefault="00DC54EA">
            <w:pPr>
              <w:ind w:left="360" w:right="200"/>
              <w:jc w:val="both"/>
              <w:rPr>
                <w:rFonts w:ascii="New Century Schlbk" w:hAnsi="New Century Schlbk"/>
                <w:sz w:val="20"/>
              </w:rPr>
            </w:pPr>
            <w:r w:rsidRPr="007667C7">
              <w:rPr>
                <w:rFonts w:ascii="Arial" w:hAnsi="Arial"/>
                <w:sz w:val="20"/>
              </w:rPr>
              <w:t>1979, Nov. 1, P.L. 255, No. 86, § 1, effective Jan. 1, 1980.</w:t>
            </w:r>
          </w:p>
        </w:tc>
      </w:tr>
      <w:tr w:rsidR="00DC54EA" w:rsidRPr="007667C7" w14:paraId="4D26D4CF" w14:textId="77777777">
        <w:tc>
          <w:tcPr>
            <w:tcW w:w="10440" w:type="dxa"/>
            <w:tcBorders>
              <w:left w:val="single" w:sz="12" w:space="0" w:color="auto"/>
              <w:bottom w:val="single" w:sz="12" w:space="0" w:color="auto"/>
              <w:right w:val="single" w:sz="12" w:space="0" w:color="auto"/>
            </w:tcBorders>
          </w:tcPr>
          <w:p w14:paraId="1A230941" w14:textId="77777777" w:rsidR="00DC54EA" w:rsidRPr="009A13E9" w:rsidRDefault="00DC54EA">
            <w:pPr>
              <w:ind w:left="360" w:right="200"/>
              <w:jc w:val="both"/>
              <w:rPr>
                <w:rFonts w:ascii="New Century Schlbk" w:hAnsi="New Century Schlbk"/>
                <w:sz w:val="20"/>
              </w:rPr>
            </w:pPr>
          </w:p>
        </w:tc>
      </w:tr>
      <w:tr w:rsidR="00DC54EA" w:rsidRPr="009A13E9" w14:paraId="075E3530" w14:textId="77777777">
        <w:tc>
          <w:tcPr>
            <w:tcW w:w="10440" w:type="dxa"/>
            <w:tcBorders>
              <w:top w:val="single" w:sz="12" w:space="0" w:color="auto"/>
              <w:left w:val="single" w:sz="12" w:space="0" w:color="auto"/>
              <w:right w:val="single" w:sz="12" w:space="0" w:color="auto"/>
            </w:tcBorders>
          </w:tcPr>
          <w:p w14:paraId="65BEED00" w14:textId="77777777" w:rsidR="00DC54EA" w:rsidRPr="007667C7" w:rsidRDefault="00DC54EA">
            <w:pPr>
              <w:ind w:left="360" w:right="200"/>
              <w:jc w:val="both"/>
              <w:rPr>
                <w:rFonts w:ascii="Arial" w:hAnsi="Arial"/>
                <w:b/>
                <w:sz w:val="16"/>
              </w:rPr>
            </w:pPr>
          </w:p>
          <w:p w14:paraId="6897171A" w14:textId="77777777" w:rsidR="00DC54EA" w:rsidRPr="009A13E9" w:rsidRDefault="00DC54EA">
            <w:pPr>
              <w:ind w:left="360" w:right="200"/>
              <w:jc w:val="center"/>
              <w:rPr>
                <w:rFonts w:ascii="New Century Schlbk" w:hAnsi="New Century Schlbk"/>
                <w:sz w:val="20"/>
              </w:rPr>
            </w:pPr>
            <w:r w:rsidRPr="007667C7">
              <w:rPr>
                <w:rFonts w:ascii="Arial" w:hAnsi="Arial"/>
                <w:b/>
              </w:rPr>
              <w:t>California Commercial Code</w:t>
            </w:r>
          </w:p>
        </w:tc>
      </w:tr>
      <w:tr w:rsidR="00DC54EA" w:rsidRPr="009A13E9" w14:paraId="465493F0" w14:textId="77777777">
        <w:tc>
          <w:tcPr>
            <w:tcW w:w="10440" w:type="dxa"/>
            <w:tcBorders>
              <w:left w:val="single" w:sz="12" w:space="0" w:color="auto"/>
              <w:right w:val="single" w:sz="12" w:space="0" w:color="auto"/>
            </w:tcBorders>
          </w:tcPr>
          <w:p w14:paraId="442B25C3" w14:textId="77777777" w:rsidR="00DC54EA" w:rsidRPr="009A13E9" w:rsidRDefault="00DC54EA">
            <w:pPr>
              <w:ind w:left="360" w:right="200"/>
              <w:rPr>
                <w:rFonts w:ascii="New Century Schlbk" w:hAnsi="New Century Schlbk"/>
                <w:sz w:val="16"/>
              </w:rPr>
            </w:pPr>
          </w:p>
        </w:tc>
      </w:tr>
      <w:tr w:rsidR="00DC54EA" w:rsidRPr="009A13E9" w14:paraId="11E928C5" w14:textId="77777777">
        <w:tc>
          <w:tcPr>
            <w:tcW w:w="10440" w:type="dxa"/>
            <w:tcBorders>
              <w:left w:val="single" w:sz="12" w:space="0" w:color="auto"/>
              <w:right w:val="single" w:sz="12" w:space="0" w:color="auto"/>
            </w:tcBorders>
          </w:tcPr>
          <w:p w14:paraId="35BC3FD2"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The text of another of the state statutes whose citations are explained in the textbook follows—Section 1101 of the </w:t>
            </w:r>
            <w:r w:rsidRPr="007667C7">
              <w:rPr>
                <w:rFonts w:ascii="Arial" w:hAnsi="Arial"/>
                <w:b/>
                <w:sz w:val="20"/>
              </w:rPr>
              <w:t>California Commercial Code</w:t>
            </w:r>
            <w:r w:rsidRPr="007667C7">
              <w:rPr>
                <w:rFonts w:ascii="Arial" w:hAnsi="Arial"/>
                <w:sz w:val="20"/>
              </w:rPr>
              <w:t xml:space="preserve"> (Cal. Com. Code § 1101).</w:t>
            </w:r>
          </w:p>
        </w:tc>
      </w:tr>
      <w:tr w:rsidR="00DC54EA" w:rsidRPr="004A28D8" w14:paraId="476560D3" w14:textId="77777777">
        <w:tc>
          <w:tcPr>
            <w:tcW w:w="10440" w:type="dxa"/>
            <w:tcBorders>
              <w:left w:val="single" w:sz="12" w:space="0" w:color="auto"/>
              <w:right w:val="single" w:sz="12" w:space="0" w:color="auto"/>
            </w:tcBorders>
          </w:tcPr>
          <w:p w14:paraId="38CDBA00" w14:textId="77777777" w:rsidR="00DC54EA" w:rsidRPr="004A28D8" w:rsidRDefault="00DC54EA">
            <w:pPr>
              <w:ind w:left="360" w:right="200"/>
              <w:rPr>
                <w:rFonts w:ascii="New Century Schlbk" w:hAnsi="New Century Schlbk"/>
                <w:sz w:val="20"/>
              </w:rPr>
            </w:pPr>
          </w:p>
        </w:tc>
      </w:tr>
      <w:tr w:rsidR="00DC54EA" w:rsidRPr="009A13E9" w14:paraId="1B0E25C2" w14:textId="77777777">
        <w:tc>
          <w:tcPr>
            <w:tcW w:w="10440" w:type="dxa"/>
            <w:tcBorders>
              <w:left w:val="single" w:sz="12" w:space="0" w:color="auto"/>
              <w:right w:val="single" w:sz="12" w:space="0" w:color="auto"/>
            </w:tcBorders>
          </w:tcPr>
          <w:p w14:paraId="17405BCB" w14:textId="77777777" w:rsidR="00DC54EA" w:rsidRPr="009A13E9" w:rsidRDefault="00DC54EA">
            <w:pPr>
              <w:ind w:left="360" w:right="200"/>
              <w:jc w:val="center"/>
              <w:rPr>
                <w:rFonts w:ascii="New Century Schlbk" w:hAnsi="New Century Schlbk"/>
                <w:sz w:val="20"/>
              </w:rPr>
            </w:pPr>
            <w:r w:rsidRPr="007667C7">
              <w:rPr>
                <w:rFonts w:ascii="Arial" w:hAnsi="Arial"/>
                <w:sz w:val="20"/>
              </w:rPr>
              <w:t>WEST’S ANNOTATED CALIFORNIA CODES</w:t>
            </w:r>
          </w:p>
        </w:tc>
      </w:tr>
      <w:tr w:rsidR="00DC54EA" w:rsidRPr="009A13E9" w14:paraId="78892EFB" w14:textId="77777777">
        <w:tc>
          <w:tcPr>
            <w:tcW w:w="10440" w:type="dxa"/>
            <w:tcBorders>
              <w:left w:val="single" w:sz="12" w:space="0" w:color="auto"/>
              <w:right w:val="single" w:sz="12" w:space="0" w:color="auto"/>
            </w:tcBorders>
          </w:tcPr>
          <w:p w14:paraId="08CB40FF" w14:textId="77777777" w:rsidR="00DC54EA" w:rsidRPr="009A13E9" w:rsidRDefault="00DC54EA">
            <w:pPr>
              <w:ind w:left="360" w:right="200"/>
              <w:jc w:val="center"/>
              <w:rPr>
                <w:rFonts w:ascii="New Century Schlbk" w:hAnsi="New Century Schlbk"/>
                <w:sz w:val="20"/>
              </w:rPr>
            </w:pPr>
            <w:r w:rsidRPr="007667C7">
              <w:rPr>
                <w:rFonts w:ascii="Arial" w:hAnsi="Arial"/>
                <w:sz w:val="20"/>
              </w:rPr>
              <w:t>COMMERCIAL CODE</w:t>
            </w:r>
          </w:p>
        </w:tc>
      </w:tr>
      <w:tr w:rsidR="00DC54EA" w:rsidRPr="009A13E9" w14:paraId="3A21E99D" w14:textId="77777777">
        <w:tc>
          <w:tcPr>
            <w:tcW w:w="10440" w:type="dxa"/>
            <w:tcBorders>
              <w:left w:val="single" w:sz="12" w:space="0" w:color="auto"/>
              <w:right w:val="single" w:sz="12" w:space="0" w:color="auto"/>
            </w:tcBorders>
          </w:tcPr>
          <w:p w14:paraId="41DC43CD" w14:textId="77777777" w:rsidR="00DC54EA" w:rsidRPr="009A13E9" w:rsidRDefault="00DC54EA">
            <w:pPr>
              <w:ind w:left="360" w:right="200"/>
              <w:jc w:val="center"/>
              <w:rPr>
                <w:rFonts w:ascii="New Century Schlbk" w:hAnsi="New Century Schlbk"/>
                <w:sz w:val="20"/>
              </w:rPr>
            </w:pPr>
            <w:r w:rsidRPr="007667C7">
              <w:rPr>
                <w:rFonts w:ascii="Arial" w:hAnsi="Arial"/>
                <w:sz w:val="20"/>
              </w:rPr>
              <w:t>DIVISION 1. GENERAL PROVISIONS</w:t>
            </w:r>
          </w:p>
        </w:tc>
      </w:tr>
      <w:tr w:rsidR="00DC54EA" w:rsidRPr="009A13E9" w14:paraId="5F7E743F" w14:textId="77777777">
        <w:tc>
          <w:tcPr>
            <w:tcW w:w="10440" w:type="dxa"/>
            <w:tcBorders>
              <w:left w:val="single" w:sz="12" w:space="0" w:color="auto"/>
              <w:right w:val="single" w:sz="12" w:space="0" w:color="auto"/>
            </w:tcBorders>
          </w:tcPr>
          <w:p w14:paraId="420BF338" w14:textId="77777777" w:rsidR="00DC54EA" w:rsidRPr="009A13E9" w:rsidRDefault="00DC54EA">
            <w:pPr>
              <w:ind w:left="360" w:right="200"/>
              <w:jc w:val="center"/>
              <w:rPr>
                <w:rFonts w:ascii="New Century Schlbk" w:hAnsi="New Century Schlbk"/>
                <w:sz w:val="20"/>
              </w:rPr>
            </w:pPr>
            <w:r w:rsidRPr="007667C7">
              <w:rPr>
                <w:rFonts w:ascii="Arial" w:hAnsi="Arial"/>
                <w:sz w:val="20"/>
              </w:rPr>
              <w:t>CHAPTER 1. SHORT TITLE, CONSTRUCTION, APPLICATION AND SUBJECT MATTER OF THE CODE</w:t>
            </w:r>
          </w:p>
        </w:tc>
      </w:tr>
      <w:tr w:rsidR="00DC54EA" w:rsidRPr="009A13E9" w14:paraId="2766567D" w14:textId="77777777">
        <w:tc>
          <w:tcPr>
            <w:tcW w:w="10440" w:type="dxa"/>
            <w:tcBorders>
              <w:left w:val="single" w:sz="12" w:space="0" w:color="auto"/>
              <w:right w:val="single" w:sz="12" w:space="0" w:color="auto"/>
            </w:tcBorders>
          </w:tcPr>
          <w:p w14:paraId="113E8AFA" w14:textId="77777777" w:rsidR="00DC54EA" w:rsidRPr="009A13E9" w:rsidRDefault="00DC54EA">
            <w:pPr>
              <w:ind w:left="360" w:right="200"/>
              <w:jc w:val="both"/>
              <w:rPr>
                <w:rFonts w:ascii="New Century Schlbk" w:hAnsi="New Century Schlbk"/>
                <w:sz w:val="16"/>
              </w:rPr>
            </w:pPr>
          </w:p>
        </w:tc>
      </w:tr>
      <w:tr w:rsidR="00DC54EA" w:rsidRPr="009A13E9" w14:paraId="4996D1AD" w14:textId="77777777">
        <w:tc>
          <w:tcPr>
            <w:tcW w:w="10440" w:type="dxa"/>
            <w:tcBorders>
              <w:left w:val="single" w:sz="12" w:space="0" w:color="auto"/>
              <w:right w:val="single" w:sz="12" w:space="0" w:color="auto"/>
            </w:tcBorders>
          </w:tcPr>
          <w:p w14:paraId="1C10BFB2" w14:textId="77777777" w:rsidR="00DC54EA" w:rsidRPr="009A13E9" w:rsidRDefault="00DC54EA">
            <w:pPr>
              <w:ind w:left="360" w:right="200"/>
              <w:jc w:val="both"/>
              <w:rPr>
                <w:rFonts w:ascii="New Century Schlbk" w:hAnsi="New Century Schlbk"/>
                <w:sz w:val="20"/>
              </w:rPr>
            </w:pPr>
            <w:r w:rsidRPr="007667C7">
              <w:rPr>
                <w:rFonts w:ascii="Arial" w:hAnsi="Arial"/>
                <w:sz w:val="20"/>
              </w:rPr>
              <w:t>§ 1101. Short Title</w:t>
            </w:r>
          </w:p>
        </w:tc>
      </w:tr>
      <w:tr w:rsidR="00DC54EA" w:rsidRPr="009A13E9" w14:paraId="487D96EE" w14:textId="77777777">
        <w:tc>
          <w:tcPr>
            <w:tcW w:w="10440" w:type="dxa"/>
            <w:tcBorders>
              <w:left w:val="single" w:sz="12" w:space="0" w:color="auto"/>
              <w:right w:val="single" w:sz="12" w:space="0" w:color="auto"/>
            </w:tcBorders>
          </w:tcPr>
          <w:p w14:paraId="39F6B4A9" w14:textId="77777777" w:rsidR="00DC54EA" w:rsidRPr="009A13E9" w:rsidRDefault="00DC54EA">
            <w:pPr>
              <w:ind w:left="360" w:right="200"/>
              <w:jc w:val="both"/>
              <w:rPr>
                <w:rFonts w:ascii="New Century Schlbk" w:hAnsi="New Century Schlbk"/>
                <w:sz w:val="16"/>
              </w:rPr>
            </w:pPr>
          </w:p>
        </w:tc>
      </w:tr>
      <w:tr w:rsidR="00DC54EA" w:rsidRPr="009A13E9" w14:paraId="395050AD" w14:textId="77777777">
        <w:tc>
          <w:tcPr>
            <w:tcW w:w="10440" w:type="dxa"/>
            <w:tcBorders>
              <w:left w:val="single" w:sz="12" w:space="0" w:color="auto"/>
              <w:right w:val="single" w:sz="12" w:space="0" w:color="auto"/>
            </w:tcBorders>
          </w:tcPr>
          <w:p w14:paraId="1513F2A5" w14:textId="77777777" w:rsidR="00DC54EA" w:rsidRPr="009A13E9" w:rsidRDefault="00DC54EA">
            <w:pPr>
              <w:ind w:left="360" w:right="200"/>
              <w:jc w:val="both"/>
              <w:rPr>
                <w:rFonts w:ascii="New Century Schlbk" w:hAnsi="New Century Schlbk"/>
                <w:sz w:val="20"/>
              </w:rPr>
            </w:pPr>
            <w:r w:rsidRPr="007667C7">
              <w:rPr>
                <w:rFonts w:ascii="Arial" w:hAnsi="Arial"/>
                <w:sz w:val="20"/>
              </w:rPr>
              <w:t>This code shall be known and may be cited as Uniform Commercial Code.</w:t>
            </w:r>
          </w:p>
        </w:tc>
      </w:tr>
      <w:tr w:rsidR="00DC54EA" w:rsidRPr="009A13E9" w14:paraId="3186F4BA" w14:textId="77777777">
        <w:tc>
          <w:tcPr>
            <w:tcW w:w="10440" w:type="dxa"/>
            <w:tcBorders>
              <w:left w:val="single" w:sz="12" w:space="0" w:color="auto"/>
              <w:right w:val="single" w:sz="12" w:space="0" w:color="auto"/>
            </w:tcBorders>
          </w:tcPr>
          <w:p w14:paraId="5933C12E" w14:textId="77777777" w:rsidR="00DC54EA" w:rsidRPr="009A13E9" w:rsidRDefault="00DC54EA">
            <w:pPr>
              <w:ind w:left="360" w:right="200"/>
              <w:jc w:val="both"/>
              <w:rPr>
                <w:rFonts w:ascii="New Century Schlbk" w:hAnsi="New Century Schlbk"/>
                <w:sz w:val="16"/>
              </w:rPr>
            </w:pPr>
          </w:p>
        </w:tc>
      </w:tr>
      <w:tr w:rsidR="00DC54EA" w:rsidRPr="009A13E9" w14:paraId="146C02D9" w14:textId="77777777">
        <w:tc>
          <w:tcPr>
            <w:tcW w:w="10440" w:type="dxa"/>
            <w:tcBorders>
              <w:left w:val="single" w:sz="12" w:space="0" w:color="auto"/>
              <w:right w:val="single" w:sz="12" w:space="0" w:color="auto"/>
            </w:tcBorders>
          </w:tcPr>
          <w:p w14:paraId="21675671" w14:textId="77777777" w:rsidR="00DC54EA" w:rsidRPr="009A13E9" w:rsidRDefault="00DC54EA">
            <w:pPr>
              <w:ind w:left="360" w:right="200"/>
              <w:jc w:val="center"/>
              <w:rPr>
                <w:rFonts w:ascii="New Century Schlbk" w:hAnsi="New Century Schlbk"/>
                <w:sz w:val="20"/>
              </w:rPr>
            </w:pPr>
            <w:r w:rsidRPr="007667C7">
              <w:rPr>
                <w:rFonts w:ascii="Arial" w:hAnsi="Arial"/>
                <w:sz w:val="20"/>
              </w:rPr>
              <w:t>1964 Main Volume Credit(s)</w:t>
            </w:r>
          </w:p>
        </w:tc>
      </w:tr>
      <w:tr w:rsidR="00DC54EA" w:rsidRPr="009A13E9" w14:paraId="74FDF3CA" w14:textId="77777777">
        <w:tc>
          <w:tcPr>
            <w:tcW w:w="10440" w:type="dxa"/>
            <w:tcBorders>
              <w:left w:val="single" w:sz="12" w:space="0" w:color="auto"/>
              <w:right w:val="single" w:sz="12" w:space="0" w:color="auto"/>
            </w:tcBorders>
          </w:tcPr>
          <w:p w14:paraId="0EB5F17D" w14:textId="77777777" w:rsidR="00DC54EA" w:rsidRPr="009A13E9" w:rsidRDefault="00DC54EA">
            <w:pPr>
              <w:ind w:left="360" w:right="200"/>
              <w:jc w:val="center"/>
              <w:rPr>
                <w:rFonts w:ascii="New Century Schlbk" w:hAnsi="New Century Schlbk"/>
                <w:sz w:val="16"/>
              </w:rPr>
            </w:pPr>
          </w:p>
        </w:tc>
      </w:tr>
      <w:tr w:rsidR="00DC54EA" w:rsidRPr="009A13E9" w14:paraId="0BDE3D11" w14:textId="77777777">
        <w:tc>
          <w:tcPr>
            <w:tcW w:w="10440" w:type="dxa"/>
            <w:tcBorders>
              <w:left w:val="single" w:sz="12" w:space="0" w:color="auto"/>
              <w:right w:val="single" w:sz="12" w:space="0" w:color="auto"/>
            </w:tcBorders>
          </w:tcPr>
          <w:p w14:paraId="4D7E931A" w14:textId="77777777" w:rsidR="00DC54EA" w:rsidRPr="009A13E9" w:rsidRDefault="00DC54EA">
            <w:pPr>
              <w:ind w:left="360" w:right="200"/>
              <w:rPr>
                <w:rFonts w:ascii="New Century Schlbk" w:hAnsi="New Century Schlbk"/>
                <w:sz w:val="20"/>
              </w:rPr>
            </w:pPr>
            <w:r w:rsidRPr="007667C7">
              <w:rPr>
                <w:rFonts w:ascii="Arial" w:hAnsi="Arial"/>
                <w:sz w:val="20"/>
              </w:rPr>
              <w:t>(Stats.1963, c. 819, § 1101.)</w:t>
            </w:r>
          </w:p>
        </w:tc>
      </w:tr>
      <w:tr w:rsidR="00DC54EA" w:rsidRPr="004A28D8" w14:paraId="1A993FF4" w14:textId="77777777">
        <w:tc>
          <w:tcPr>
            <w:tcW w:w="10440" w:type="dxa"/>
            <w:tcBorders>
              <w:left w:val="single" w:sz="12" w:space="0" w:color="auto"/>
              <w:bottom w:val="single" w:sz="12" w:space="0" w:color="auto"/>
              <w:right w:val="single" w:sz="12" w:space="0" w:color="auto"/>
            </w:tcBorders>
          </w:tcPr>
          <w:p w14:paraId="67D968E0" w14:textId="77777777" w:rsidR="00DC54EA" w:rsidRPr="004A28D8" w:rsidRDefault="00DC54EA">
            <w:pPr>
              <w:ind w:left="360" w:right="200"/>
              <w:jc w:val="both"/>
              <w:rPr>
                <w:rFonts w:ascii="Arial" w:hAnsi="Arial"/>
                <w:sz w:val="20"/>
              </w:rPr>
            </w:pPr>
          </w:p>
        </w:tc>
      </w:tr>
    </w:tbl>
    <w:p w14:paraId="043740AC" w14:textId="77777777" w:rsidR="00DC54EA" w:rsidRPr="007667C7" w:rsidRDefault="00DC54E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0C314455" w14:textId="77777777">
        <w:tc>
          <w:tcPr>
            <w:tcW w:w="10440" w:type="dxa"/>
            <w:tcBorders>
              <w:top w:val="single" w:sz="12" w:space="0" w:color="auto"/>
              <w:left w:val="single" w:sz="12" w:space="0" w:color="auto"/>
              <w:right w:val="single" w:sz="12" w:space="0" w:color="auto"/>
            </w:tcBorders>
          </w:tcPr>
          <w:p w14:paraId="56B8AF78" w14:textId="77777777" w:rsidR="00DC54EA" w:rsidRPr="004A28D8" w:rsidRDefault="00DC54EA">
            <w:pPr>
              <w:ind w:left="360" w:right="200"/>
              <w:jc w:val="center"/>
              <w:rPr>
                <w:rFonts w:ascii="Arial" w:hAnsi="Arial"/>
                <w:b/>
                <w:sz w:val="20"/>
              </w:rPr>
            </w:pPr>
          </w:p>
          <w:p w14:paraId="06307626" w14:textId="77777777" w:rsidR="00DC54EA" w:rsidRPr="009A13E9" w:rsidRDefault="00DC54EA">
            <w:pPr>
              <w:pStyle w:val="Heading2"/>
              <w:rPr>
                <w:b w:val="0"/>
                <w:sz w:val="20"/>
              </w:rPr>
            </w:pPr>
            <w:r w:rsidRPr="007667C7">
              <w:rPr>
                <w:rFonts w:ascii="Arial" w:hAnsi="Arial"/>
                <w:sz w:val="20"/>
              </w:rPr>
              <w:t>Additional Background—</w:t>
            </w:r>
          </w:p>
        </w:tc>
      </w:tr>
      <w:tr w:rsidR="00DC54EA" w:rsidRPr="004A28D8" w14:paraId="69C052DF" w14:textId="77777777">
        <w:tc>
          <w:tcPr>
            <w:tcW w:w="10440" w:type="dxa"/>
            <w:tcBorders>
              <w:left w:val="single" w:sz="12" w:space="0" w:color="auto"/>
              <w:right w:val="single" w:sz="12" w:space="0" w:color="auto"/>
            </w:tcBorders>
          </w:tcPr>
          <w:p w14:paraId="59173104" w14:textId="77777777" w:rsidR="00DC54EA" w:rsidRPr="004A28D8" w:rsidRDefault="00DC54EA">
            <w:pPr>
              <w:ind w:left="360" w:right="200"/>
              <w:jc w:val="center"/>
              <w:rPr>
                <w:rFonts w:ascii="New Century Schlbk" w:hAnsi="New Century Schlbk"/>
                <w:sz w:val="20"/>
              </w:rPr>
            </w:pPr>
          </w:p>
        </w:tc>
      </w:tr>
      <w:tr w:rsidR="00DC54EA" w:rsidRPr="009A13E9" w14:paraId="1069FBA6" w14:textId="77777777">
        <w:tc>
          <w:tcPr>
            <w:tcW w:w="10440" w:type="dxa"/>
            <w:tcBorders>
              <w:left w:val="single" w:sz="12" w:space="0" w:color="auto"/>
              <w:right w:val="single" w:sz="12" w:space="0" w:color="auto"/>
            </w:tcBorders>
          </w:tcPr>
          <w:p w14:paraId="12382ED9" w14:textId="77777777" w:rsidR="00DC54EA" w:rsidRPr="009A13E9" w:rsidRDefault="00DC54EA">
            <w:pPr>
              <w:pStyle w:val="Heading2"/>
              <w:rPr>
                <w:b w:val="0"/>
                <w:smallCaps w:val="0"/>
                <w:sz w:val="20"/>
              </w:rPr>
            </w:pPr>
            <w:r w:rsidRPr="007667C7">
              <w:rPr>
                <w:rFonts w:ascii="Arial" w:hAnsi="Arial"/>
                <w:smallCaps w:val="0"/>
              </w:rPr>
              <w:t>Code of Federal Regulations</w:t>
            </w:r>
          </w:p>
        </w:tc>
      </w:tr>
      <w:tr w:rsidR="00DC54EA" w:rsidRPr="009A13E9" w14:paraId="72D79C70" w14:textId="77777777">
        <w:tc>
          <w:tcPr>
            <w:tcW w:w="10440" w:type="dxa"/>
            <w:tcBorders>
              <w:left w:val="single" w:sz="12" w:space="0" w:color="auto"/>
              <w:right w:val="single" w:sz="12" w:space="0" w:color="auto"/>
            </w:tcBorders>
          </w:tcPr>
          <w:p w14:paraId="4CE7C75A" w14:textId="77777777" w:rsidR="00DC54EA" w:rsidRPr="009A13E9" w:rsidRDefault="00DC54EA">
            <w:pPr>
              <w:ind w:left="360" w:right="200"/>
              <w:jc w:val="center"/>
              <w:rPr>
                <w:rFonts w:ascii="New Century Schlbk" w:hAnsi="New Century Schlbk"/>
                <w:sz w:val="16"/>
              </w:rPr>
            </w:pPr>
          </w:p>
        </w:tc>
      </w:tr>
      <w:tr w:rsidR="00DC54EA" w:rsidRPr="009A13E9" w14:paraId="1AE76607" w14:textId="77777777">
        <w:tc>
          <w:tcPr>
            <w:tcW w:w="10440" w:type="dxa"/>
            <w:tcBorders>
              <w:left w:val="single" w:sz="12" w:space="0" w:color="auto"/>
              <w:right w:val="single" w:sz="12" w:space="0" w:color="auto"/>
            </w:tcBorders>
          </w:tcPr>
          <w:p w14:paraId="54995F3C"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Created by Congress in 1937, the </w:t>
            </w:r>
            <w:r w:rsidRPr="007667C7">
              <w:rPr>
                <w:rFonts w:ascii="Arial" w:hAnsi="Arial"/>
                <w:b/>
                <w:sz w:val="20"/>
              </w:rPr>
              <w:t>Code of Federal Regulations</w:t>
            </w:r>
            <w:r w:rsidRPr="007667C7">
              <w:rPr>
                <w:rFonts w:ascii="Arial" w:hAnsi="Arial"/>
                <w:sz w:val="20"/>
              </w:rPr>
              <w:t xml:space="preserve"> is a set of softcover volumes that con</w:t>
            </w:r>
            <w:r w:rsidRPr="007667C7">
              <w:rPr>
                <w:rFonts w:ascii="Arial" w:hAnsi="Arial"/>
                <w:sz w:val="20"/>
              </w:rPr>
              <w:softHyphen/>
              <w:t>tain the regulations of federal agencies currently in effect.  Items are selected from those pub</w:t>
            </w:r>
            <w:r w:rsidRPr="007667C7">
              <w:rPr>
                <w:rFonts w:ascii="Arial" w:hAnsi="Arial"/>
                <w:sz w:val="20"/>
              </w:rPr>
              <w:softHyphen/>
              <w:t>lished in the Federal Register and arranged in a scheme of fifty titles, some of which are the same as those or</w:t>
            </w:r>
            <w:r w:rsidRPr="007667C7">
              <w:rPr>
                <w:rFonts w:ascii="Arial" w:hAnsi="Arial"/>
                <w:sz w:val="20"/>
              </w:rPr>
              <w:softHyphen/>
              <w:t>ganizing the statutes in the United States Code (discussed above).  Each title is divided into chapters, parts, and sections.  The Code of Federal Regulations is completely revised every year.  The following is the text of Section 230.504 of Title 17 of the Code of Federal Regulations (17 C.F.R. § 230.504).</w:t>
            </w:r>
          </w:p>
        </w:tc>
      </w:tr>
      <w:tr w:rsidR="00DC54EA" w:rsidRPr="007667C7" w14:paraId="0BD0ED3D" w14:textId="77777777">
        <w:tc>
          <w:tcPr>
            <w:tcW w:w="10440" w:type="dxa"/>
            <w:tcBorders>
              <w:left w:val="single" w:sz="12" w:space="0" w:color="auto"/>
              <w:right w:val="single" w:sz="12" w:space="0" w:color="auto"/>
            </w:tcBorders>
          </w:tcPr>
          <w:p w14:paraId="3A41DD3B" w14:textId="77777777" w:rsidR="00DC54EA" w:rsidRPr="009A13E9" w:rsidRDefault="00DC54EA">
            <w:pPr>
              <w:ind w:left="360" w:right="200"/>
              <w:jc w:val="center"/>
              <w:rPr>
                <w:rFonts w:ascii="New Century Schlbk" w:hAnsi="New Century Schlbk"/>
                <w:sz w:val="20"/>
              </w:rPr>
            </w:pPr>
          </w:p>
        </w:tc>
      </w:tr>
      <w:tr w:rsidR="00DC54EA" w:rsidRPr="007667C7" w14:paraId="0A0CC2DD" w14:textId="77777777">
        <w:tc>
          <w:tcPr>
            <w:tcW w:w="10440" w:type="dxa"/>
            <w:tcBorders>
              <w:left w:val="single" w:sz="12" w:space="0" w:color="auto"/>
              <w:right w:val="single" w:sz="12" w:space="0" w:color="auto"/>
            </w:tcBorders>
          </w:tcPr>
          <w:p w14:paraId="6929F79A" w14:textId="77777777" w:rsidR="00DC54EA" w:rsidRPr="009A13E9" w:rsidRDefault="00DC54EA">
            <w:pPr>
              <w:pStyle w:val="CaseSyn"/>
              <w:spacing w:line="240" w:lineRule="auto"/>
              <w:rPr>
                <w:b w:val="0"/>
              </w:rPr>
            </w:pPr>
            <w:r w:rsidRPr="007667C7">
              <w:rPr>
                <w:rFonts w:ascii="Arial" w:hAnsi="Arial"/>
              </w:rPr>
              <w:t>TITLE 17—COMMODITY AND SECURITIES EXCHANGE</w:t>
            </w:r>
          </w:p>
        </w:tc>
      </w:tr>
      <w:tr w:rsidR="00DC54EA" w:rsidRPr="007667C7" w14:paraId="551069A4" w14:textId="77777777">
        <w:tc>
          <w:tcPr>
            <w:tcW w:w="10440" w:type="dxa"/>
            <w:tcBorders>
              <w:left w:val="single" w:sz="12" w:space="0" w:color="auto"/>
              <w:right w:val="single" w:sz="12" w:space="0" w:color="auto"/>
            </w:tcBorders>
          </w:tcPr>
          <w:p w14:paraId="269C4BB0" w14:textId="77777777" w:rsidR="00DC54EA" w:rsidRPr="009A13E9" w:rsidRDefault="00DC54EA">
            <w:pPr>
              <w:pStyle w:val="CaseSyn"/>
              <w:spacing w:line="240" w:lineRule="auto"/>
              <w:rPr>
                <w:b w:val="0"/>
                <w:smallCaps w:val="0"/>
              </w:rPr>
            </w:pPr>
            <w:r w:rsidRPr="007667C7">
              <w:rPr>
                <w:rFonts w:ascii="Arial" w:hAnsi="Arial"/>
                <w:smallCaps w:val="0"/>
              </w:rPr>
              <w:t>Chapter II—Securities and Exchange Commission</w:t>
            </w:r>
          </w:p>
        </w:tc>
      </w:tr>
      <w:tr w:rsidR="00DC54EA" w:rsidRPr="007667C7" w14:paraId="44D7BE35" w14:textId="77777777">
        <w:tc>
          <w:tcPr>
            <w:tcW w:w="10440" w:type="dxa"/>
            <w:tcBorders>
              <w:left w:val="single" w:sz="12" w:space="0" w:color="auto"/>
              <w:right w:val="single" w:sz="12" w:space="0" w:color="auto"/>
            </w:tcBorders>
          </w:tcPr>
          <w:p w14:paraId="71B19616" w14:textId="77777777" w:rsidR="00DC54EA" w:rsidRPr="009A13E9" w:rsidRDefault="00DC54EA">
            <w:pPr>
              <w:ind w:left="360" w:right="200"/>
              <w:jc w:val="center"/>
              <w:rPr>
                <w:rFonts w:ascii="New Century Schlbk" w:hAnsi="New Century Schlbk"/>
                <w:sz w:val="20"/>
              </w:rPr>
            </w:pPr>
            <w:r w:rsidRPr="007667C7">
              <w:rPr>
                <w:rFonts w:ascii="Arial" w:hAnsi="Arial"/>
                <w:b/>
                <w:sz w:val="20"/>
              </w:rPr>
              <w:t>Part 230—General Rules and Regulations, Securities Act of 1933</w:t>
            </w:r>
          </w:p>
        </w:tc>
      </w:tr>
      <w:tr w:rsidR="00DC54EA" w:rsidRPr="007667C7" w14:paraId="1CD7E980" w14:textId="77777777">
        <w:tc>
          <w:tcPr>
            <w:tcW w:w="10440" w:type="dxa"/>
            <w:tcBorders>
              <w:left w:val="single" w:sz="12" w:space="0" w:color="auto"/>
              <w:right w:val="single" w:sz="12" w:space="0" w:color="auto"/>
            </w:tcBorders>
          </w:tcPr>
          <w:p w14:paraId="23A8C69B" w14:textId="77777777" w:rsidR="00DC54EA" w:rsidRPr="009A13E9" w:rsidRDefault="00DC54EA">
            <w:pPr>
              <w:ind w:left="360" w:right="200"/>
              <w:jc w:val="center"/>
              <w:rPr>
                <w:rFonts w:ascii="New Century Schlbk" w:hAnsi="New Century Schlbk"/>
                <w:sz w:val="20"/>
              </w:rPr>
            </w:pPr>
            <w:r w:rsidRPr="007667C7">
              <w:rPr>
                <w:rFonts w:ascii="Arial" w:hAnsi="Arial"/>
                <w:b/>
                <w:sz w:val="20"/>
              </w:rPr>
              <w:t>REGULATION B—EXEMPTION RELATING TO FRACTIONAL UNDIVIDED INTERESTS IN OIL OR GAS RIGHTS</w:t>
            </w:r>
          </w:p>
        </w:tc>
      </w:tr>
      <w:tr w:rsidR="00DC54EA" w:rsidRPr="009A13E9" w14:paraId="14E034AF" w14:textId="77777777">
        <w:tc>
          <w:tcPr>
            <w:tcW w:w="10440" w:type="dxa"/>
            <w:tcBorders>
              <w:left w:val="single" w:sz="12" w:space="0" w:color="auto"/>
              <w:right w:val="single" w:sz="12" w:space="0" w:color="auto"/>
            </w:tcBorders>
          </w:tcPr>
          <w:p w14:paraId="22258807" w14:textId="77777777" w:rsidR="00DC54EA" w:rsidRPr="009A13E9" w:rsidRDefault="00DC54EA">
            <w:pPr>
              <w:ind w:left="360" w:right="200"/>
              <w:jc w:val="center"/>
              <w:rPr>
                <w:rFonts w:ascii="New Century Schlbk" w:hAnsi="New Century Schlbk"/>
                <w:sz w:val="20"/>
              </w:rPr>
            </w:pPr>
            <w:r w:rsidRPr="007667C7">
              <w:rPr>
                <w:rFonts w:ascii="Arial" w:hAnsi="Arial"/>
                <w:b/>
                <w:sz w:val="20"/>
              </w:rPr>
              <w:t>Regulation D—Rules Governing the Limited Offer and Sale of Securities Without Registration Under the Securities Act of 1933</w:t>
            </w:r>
          </w:p>
        </w:tc>
      </w:tr>
      <w:tr w:rsidR="00DC54EA" w:rsidRPr="007667C7" w14:paraId="78969152" w14:textId="77777777">
        <w:tc>
          <w:tcPr>
            <w:tcW w:w="10440" w:type="dxa"/>
            <w:tcBorders>
              <w:left w:val="single" w:sz="12" w:space="0" w:color="auto"/>
              <w:right w:val="single" w:sz="12" w:space="0" w:color="auto"/>
            </w:tcBorders>
          </w:tcPr>
          <w:p w14:paraId="7851E3A1" w14:textId="77777777" w:rsidR="00DC54EA" w:rsidRPr="009A13E9" w:rsidRDefault="00DC54EA">
            <w:pPr>
              <w:pStyle w:val="Boxtext"/>
              <w:spacing w:line="240" w:lineRule="auto"/>
            </w:pPr>
          </w:p>
        </w:tc>
      </w:tr>
      <w:tr w:rsidR="00DC54EA" w:rsidRPr="009A13E9" w14:paraId="36C2EAF5" w14:textId="77777777">
        <w:tc>
          <w:tcPr>
            <w:tcW w:w="10440" w:type="dxa"/>
            <w:tcBorders>
              <w:left w:val="single" w:sz="12" w:space="0" w:color="auto"/>
              <w:right w:val="single" w:sz="12" w:space="0" w:color="auto"/>
            </w:tcBorders>
          </w:tcPr>
          <w:p w14:paraId="4351DE1E" w14:textId="77777777" w:rsidR="00DC54EA" w:rsidRPr="009A13E9" w:rsidRDefault="00DC54EA">
            <w:pPr>
              <w:ind w:left="360" w:right="200"/>
              <w:jc w:val="both"/>
              <w:rPr>
                <w:rFonts w:ascii="New Century Schlbk" w:hAnsi="New Century Schlbk"/>
                <w:sz w:val="20"/>
              </w:rPr>
            </w:pPr>
            <w:r w:rsidRPr="007667C7">
              <w:rPr>
                <w:rFonts w:ascii="Arial" w:hAnsi="Arial"/>
                <w:b/>
                <w:sz w:val="20"/>
              </w:rPr>
              <w:t xml:space="preserve">§   </w:t>
            </w:r>
            <w:proofErr w:type="gramStart"/>
            <w:r w:rsidRPr="007667C7">
              <w:rPr>
                <w:rFonts w:ascii="Arial" w:hAnsi="Arial"/>
                <w:b/>
                <w:sz w:val="20"/>
              </w:rPr>
              <w:t>230.504  Exemption</w:t>
            </w:r>
            <w:proofErr w:type="gramEnd"/>
            <w:r w:rsidRPr="007667C7">
              <w:rPr>
                <w:rFonts w:ascii="Arial" w:hAnsi="Arial"/>
                <w:b/>
                <w:sz w:val="20"/>
              </w:rPr>
              <w:t xml:space="preserve"> for Limited Offerings and Sales of Securities Not Exceeding $1,000,000.</w:t>
            </w:r>
          </w:p>
        </w:tc>
      </w:tr>
      <w:tr w:rsidR="00DC54EA" w:rsidRPr="007667C7" w14:paraId="5265E522" w14:textId="77777777">
        <w:tc>
          <w:tcPr>
            <w:tcW w:w="10440" w:type="dxa"/>
            <w:tcBorders>
              <w:left w:val="single" w:sz="12" w:space="0" w:color="auto"/>
              <w:right w:val="single" w:sz="12" w:space="0" w:color="auto"/>
            </w:tcBorders>
          </w:tcPr>
          <w:p w14:paraId="6EBC8C79" w14:textId="77777777" w:rsidR="00DC54EA" w:rsidRPr="009A13E9" w:rsidRDefault="00DC54EA">
            <w:pPr>
              <w:ind w:left="360" w:right="200"/>
              <w:jc w:val="both"/>
              <w:rPr>
                <w:rFonts w:ascii="New Century Schlbk" w:hAnsi="New Century Schlbk"/>
                <w:sz w:val="16"/>
              </w:rPr>
            </w:pPr>
          </w:p>
        </w:tc>
      </w:tr>
      <w:tr w:rsidR="00DC54EA" w:rsidRPr="009A13E9" w14:paraId="62491874" w14:textId="77777777">
        <w:tc>
          <w:tcPr>
            <w:tcW w:w="10440" w:type="dxa"/>
            <w:tcBorders>
              <w:left w:val="single" w:sz="12" w:space="0" w:color="auto"/>
              <w:right w:val="single" w:sz="12" w:space="0" w:color="auto"/>
            </w:tcBorders>
          </w:tcPr>
          <w:p w14:paraId="2A1427D6" w14:textId="77777777" w:rsidR="00DC54EA" w:rsidRPr="009A13E9" w:rsidRDefault="00DC54EA">
            <w:pPr>
              <w:ind w:left="360" w:right="200"/>
              <w:jc w:val="both"/>
              <w:rPr>
                <w:rFonts w:ascii="New Century Schlbk" w:hAnsi="New Century Schlbk"/>
                <w:sz w:val="20"/>
              </w:rPr>
            </w:pPr>
            <w:r w:rsidRPr="007667C7">
              <w:rPr>
                <w:rFonts w:ascii="Arial" w:hAnsi="Arial"/>
                <w:b/>
                <w:sz w:val="20"/>
              </w:rPr>
              <w:t>(a) Exemption.</w:t>
            </w:r>
          </w:p>
        </w:tc>
      </w:tr>
      <w:tr w:rsidR="00DC54EA" w:rsidRPr="009A13E9" w14:paraId="7DEEA020" w14:textId="77777777">
        <w:tc>
          <w:tcPr>
            <w:tcW w:w="10440" w:type="dxa"/>
            <w:tcBorders>
              <w:left w:val="single" w:sz="12" w:space="0" w:color="auto"/>
              <w:right w:val="single" w:sz="12" w:space="0" w:color="auto"/>
            </w:tcBorders>
          </w:tcPr>
          <w:p w14:paraId="293C0092" w14:textId="77777777" w:rsidR="00DC54EA" w:rsidRPr="009A13E9" w:rsidRDefault="00DC54EA">
            <w:pPr>
              <w:ind w:left="360" w:right="200"/>
              <w:jc w:val="both"/>
              <w:rPr>
                <w:rFonts w:ascii="New Century Schlbk" w:hAnsi="New Century Schlbk"/>
                <w:sz w:val="16"/>
              </w:rPr>
            </w:pPr>
          </w:p>
        </w:tc>
      </w:tr>
      <w:tr w:rsidR="00DC54EA" w:rsidRPr="009A13E9" w14:paraId="00EAB9A5" w14:textId="77777777">
        <w:tc>
          <w:tcPr>
            <w:tcW w:w="10440" w:type="dxa"/>
            <w:tcBorders>
              <w:left w:val="single" w:sz="12" w:space="0" w:color="auto"/>
              <w:right w:val="single" w:sz="12" w:space="0" w:color="auto"/>
            </w:tcBorders>
          </w:tcPr>
          <w:p w14:paraId="4681E994"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Offers and sales of securities that satisfy the conditions in paragraph (b) of this Section by an issuer that is not subject to the reporting requirements of section 13 or 15(d) of the Exchange Act and that is not an investment company shall be exempt from the provisions of section 5 of the Act under section 3(b) of the Act.</w:t>
            </w:r>
          </w:p>
        </w:tc>
      </w:tr>
      <w:tr w:rsidR="00DC54EA" w:rsidRPr="007667C7" w14:paraId="12057A8D" w14:textId="77777777">
        <w:tc>
          <w:tcPr>
            <w:tcW w:w="10440" w:type="dxa"/>
            <w:tcBorders>
              <w:left w:val="single" w:sz="12" w:space="0" w:color="auto"/>
              <w:right w:val="single" w:sz="12" w:space="0" w:color="auto"/>
            </w:tcBorders>
          </w:tcPr>
          <w:p w14:paraId="47E0B17A" w14:textId="77777777" w:rsidR="00DC54EA" w:rsidRPr="009A13E9" w:rsidRDefault="00DC54EA">
            <w:pPr>
              <w:ind w:left="360" w:right="200"/>
              <w:jc w:val="both"/>
              <w:rPr>
                <w:rFonts w:ascii="New Century Schlbk" w:hAnsi="New Century Schlbk"/>
                <w:sz w:val="16"/>
              </w:rPr>
            </w:pPr>
          </w:p>
        </w:tc>
      </w:tr>
      <w:tr w:rsidR="00DC54EA" w:rsidRPr="009A13E9" w14:paraId="3747C4A9" w14:textId="77777777">
        <w:tc>
          <w:tcPr>
            <w:tcW w:w="10440" w:type="dxa"/>
            <w:tcBorders>
              <w:left w:val="single" w:sz="12" w:space="0" w:color="auto"/>
              <w:right w:val="single" w:sz="12" w:space="0" w:color="auto"/>
            </w:tcBorders>
          </w:tcPr>
          <w:p w14:paraId="773B415F" w14:textId="77777777" w:rsidR="00DC54EA" w:rsidRPr="009A13E9" w:rsidRDefault="00DC54EA">
            <w:pPr>
              <w:ind w:left="360" w:right="200"/>
              <w:jc w:val="both"/>
              <w:rPr>
                <w:rFonts w:ascii="New Century Schlbk" w:hAnsi="New Century Schlbk"/>
                <w:sz w:val="20"/>
              </w:rPr>
            </w:pPr>
            <w:r w:rsidRPr="007667C7">
              <w:rPr>
                <w:rFonts w:ascii="Arial" w:hAnsi="Arial"/>
                <w:b/>
                <w:sz w:val="20"/>
              </w:rPr>
              <w:t>(b) Conditions to be met—</w:t>
            </w:r>
          </w:p>
        </w:tc>
      </w:tr>
      <w:tr w:rsidR="00DC54EA" w:rsidRPr="007667C7" w14:paraId="403F1D06" w14:textId="77777777">
        <w:tc>
          <w:tcPr>
            <w:tcW w:w="10440" w:type="dxa"/>
            <w:tcBorders>
              <w:left w:val="single" w:sz="12" w:space="0" w:color="auto"/>
              <w:right w:val="single" w:sz="12" w:space="0" w:color="auto"/>
            </w:tcBorders>
          </w:tcPr>
          <w:p w14:paraId="575057A4" w14:textId="77777777" w:rsidR="00DC54EA" w:rsidRPr="009A13E9" w:rsidRDefault="00DC54EA">
            <w:pPr>
              <w:ind w:left="360" w:right="200"/>
              <w:jc w:val="both"/>
              <w:rPr>
                <w:rFonts w:ascii="New Century Schlbk" w:hAnsi="New Century Schlbk"/>
                <w:sz w:val="16"/>
              </w:rPr>
            </w:pPr>
          </w:p>
        </w:tc>
      </w:tr>
      <w:tr w:rsidR="00DC54EA" w:rsidRPr="009A13E9" w14:paraId="2501E7D2" w14:textId="77777777">
        <w:tc>
          <w:tcPr>
            <w:tcW w:w="10440" w:type="dxa"/>
            <w:tcBorders>
              <w:left w:val="single" w:sz="12" w:space="0" w:color="auto"/>
              <w:right w:val="single" w:sz="12" w:space="0" w:color="auto"/>
            </w:tcBorders>
          </w:tcPr>
          <w:p w14:paraId="50493EFA" w14:textId="77777777" w:rsidR="00DC54EA" w:rsidRPr="009A13E9" w:rsidRDefault="00DC54EA">
            <w:pPr>
              <w:ind w:left="360" w:right="200"/>
              <w:jc w:val="both"/>
              <w:rPr>
                <w:rFonts w:ascii="New Century Schlbk" w:hAnsi="New Century Schlbk"/>
                <w:sz w:val="20"/>
              </w:rPr>
            </w:pPr>
            <w:r w:rsidRPr="007667C7">
              <w:rPr>
                <w:rFonts w:ascii="Arial" w:hAnsi="Arial"/>
                <w:b/>
                <w:sz w:val="20"/>
              </w:rPr>
              <w:t>(</w:t>
            </w:r>
            <w:proofErr w:type="gramStart"/>
            <w:r w:rsidRPr="007667C7">
              <w:rPr>
                <w:rFonts w:ascii="Arial" w:hAnsi="Arial"/>
                <w:b/>
                <w:sz w:val="20"/>
              </w:rPr>
              <w:t>b</w:t>
            </w:r>
            <w:proofErr w:type="gramEnd"/>
            <w:r w:rsidRPr="007667C7">
              <w:rPr>
                <w:rFonts w:ascii="Arial" w:hAnsi="Arial"/>
                <w:b/>
                <w:sz w:val="20"/>
              </w:rPr>
              <w:t>)(1) General Conditions.</w:t>
            </w:r>
            <w:r w:rsidRPr="007667C7">
              <w:rPr>
                <w:rFonts w:ascii="Arial" w:hAnsi="Arial"/>
                <w:sz w:val="20"/>
              </w:rPr>
              <w:t xml:space="preserve"> To qualify for exemption under this § 230.504, offers and sales must satisfy the terms and conditions of §§ 230.501 and 230.502, except that the provisions of § 230.502(c) and (d) shall not apply to offers and sales of securities under this § 230.504 that are made:</w:t>
            </w:r>
          </w:p>
        </w:tc>
      </w:tr>
      <w:tr w:rsidR="00DC54EA" w:rsidRPr="009A13E9" w14:paraId="59D49587" w14:textId="77777777">
        <w:tc>
          <w:tcPr>
            <w:tcW w:w="10440" w:type="dxa"/>
            <w:tcBorders>
              <w:left w:val="single" w:sz="12" w:space="0" w:color="auto"/>
              <w:right w:val="single" w:sz="12" w:space="0" w:color="auto"/>
            </w:tcBorders>
          </w:tcPr>
          <w:p w14:paraId="55272573" w14:textId="77777777" w:rsidR="00DC54EA" w:rsidRPr="009A13E9" w:rsidRDefault="00DC54EA">
            <w:pPr>
              <w:ind w:left="360" w:right="200"/>
              <w:jc w:val="both"/>
              <w:rPr>
                <w:rFonts w:ascii="New Century Schlbk" w:hAnsi="New Century Schlbk"/>
                <w:sz w:val="16"/>
              </w:rPr>
            </w:pPr>
          </w:p>
        </w:tc>
      </w:tr>
      <w:tr w:rsidR="00DC54EA" w:rsidRPr="009A13E9" w14:paraId="03B3352D" w14:textId="77777777">
        <w:tc>
          <w:tcPr>
            <w:tcW w:w="10440" w:type="dxa"/>
            <w:tcBorders>
              <w:left w:val="single" w:sz="12" w:space="0" w:color="auto"/>
              <w:right w:val="single" w:sz="12" w:space="0" w:color="auto"/>
            </w:tcBorders>
          </w:tcPr>
          <w:p w14:paraId="4B793356" w14:textId="77777777" w:rsidR="00DC54EA" w:rsidRPr="009A13E9" w:rsidRDefault="00DC54EA">
            <w:pPr>
              <w:ind w:left="360" w:right="200"/>
              <w:jc w:val="both"/>
              <w:rPr>
                <w:rFonts w:ascii="New Century Schlbk" w:hAnsi="New Century Schlbk"/>
                <w:sz w:val="20"/>
              </w:rPr>
            </w:pPr>
            <w:r w:rsidRPr="007667C7">
              <w:rPr>
                <w:rFonts w:ascii="Arial" w:hAnsi="Arial"/>
                <w:sz w:val="20"/>
              </w:rPr>
              <w:t>(</w:t>
            </w:r>
            <w:proofErr w:type="gramStart"/>
            <w:r w:rsidRPr="007667C7">
              <w:rPr>
                <w:rFonts w:ascii="Arial" w:hAnsi="Arial"/>
                <w:sz w:val="20"/>
              </w:rPr>
              <w:t>b</w:t>
            </w:r>
            <w:proofErr w:type="gramEnd"/>
            <w:r w:rsidRPr="007667C7">
              <w:rPr>
                <w:rFonts w:ascii="Arial" w:hAnsi="Arial"/>
                <w:sz w:val="20"/>
              </w:rPr>
              <w:t>)(1)(</w:t>
            </w:r>
            <w:proofErr w:type="spellStart"/>
            <w:r w:rsidRPr="007667C7">
              <w:rPr>
                <w:rFonts w:ascii="Arial" w:hAnsi="Arial"/>
                <w:sz w:val="20"/>
              </w:rPr>
              <w:t>i</w:t>
            </w:r>
            <w:proofErr w:type="spellEnd"/>
            <w:r w:rsidRPr="007667C7">
              <w:rPr>
                <w:rFonts w:ascii="Arial" w:hAnsi="Arial"/>
                <w:sz w:val="20"/>
              </w:rPr>
              <w:t>) Exclusively in one or more states each of which provides for the registration of the securities and requires the delivery of a disclosure document before sale and that are made in accordance with those state provisions</w:t>
            </w:r>
            <w:proofErr w:type="gramStart"/>
            <w:r w:rsidRPr="007667C7">
              <w:rPr>
                <w:rFonts w:ascii="Arial" w:hAnsi="Arial"/>
                <w:sz w:val="20"/>
              </w:rPr>
              <w:t>;  or</w:t>
            </w:r>
            <w:proofErr w:type="gramEnd"/>
          </w:p>
        </w:tc>
      </w:tr>
      <w:tr w:rsidR="00DC54EA" w:rsidRPr="009A13E9" w14:paraId="12C73220" w14:textId="77777777">
        <w:tc>
          <w:tcPr>
            <w:tcW w:w="10440" w:type="dxa"/>
            <w:tcBorders>
              <w:left w:val="single" w:sz="12" w:space="0" w:color="auto"/>
              <w:right w:val="single" w:sz="12" w:space="0" w:color="auto"/>
            </w:tcBorders>
          </w:tcPr>
          <w:p w14:paraId="0D0BA50A" w14:textId="77777777" w:rsidR="00DC54EA" w:rsidRPr="009A13E9" w:rsidRDefault="00DC54EA">
            <w:pPr>
              <w:ind w:left="360" w:right="200"/>
              <w:jc w:val="both"/>
              <w:rPr>
                <w:rFonts w:ascii="New Century Schlbk" w:hAnsi="New Century Schlbk"/>
                <w:sz w:val="16"/>
              </w:rPr>
            </w:pPr>
          </w:p>
        </w:tc>
      </w:tr>
      <w:tr w:rsidR="00DC54EA" w:rsidRPr="009A13E9" w14:paraId="242BEC6A" w14:textId="77777777">
        <w:tc>
          <w:tcPr>
            <w:tcW w:w="10440" w:type="dxa"/>
            <w:tcBorders>
              <w:left w:val="single" w:sz="12" w:space="0" w:color="auto"/>
              <w:right w:val="single" w:sz="12" w:space="0" w:color="auto"/>
            </w:tcBorders>
          </w:tcPr>
          <w:p w14:paraId="7EDA9FA8" w14:textId="77777777" w:rsidR="00DC54EA" w:rsidRPr="009A13E9" w:rsidRDefault="00DC54EA">
            <w:pPr>
              <w:pStyle w:val="Boxtext"/>
              <w:spacing w:line="240" w:lineRule="auto"/>
            </w:pPr>
            <w:r w:rsidRPr="007667C7">
              <w:rPr>
                <w:rFonts w:ascii="Arial" w:hAnsi="Arial"/>
              </w:rPr>
              <w:t>(</w:t>
            </w:r>
            <w:proofErr w:type="gramStart"/>
            <w:r w:rsidRPr="007667C7">
              <w:rPr>
                <w:rFonts w:ascii="Arial" w:hAnsi="Arial"/>
              </w:rPr>
              <w:t>b</w:t>
            </w:r>
            <w:proofErr w:type="gramEnd"/>
            <w:r w:rsidRPr="007667C7">
              <w:rPr>
                <w:rFonts w:ascii="Arial" w:hAnsi="Arial"/>
              </w:rPr>
              <w:t>)(1)(ii) In one or more states which have no provision for the registration of the securities and the de</w:t>
            </w:r>
            <w:r w:rsidRPr="007667C7">
              <w:rPr>
                <w:rFonts w:ascii="Arial" w:hAnsi="Arial"/>
              </w:rPr>
              <w:softHyphen/>
              <w:t>livery of a disclosure document before sale, if the securities have been registered in at least one state which provides for such registration and delivery before sale, offers and sales are made in the state of registration in accordance with such state provisions, and such document is in fact delivered to all pur</w:t>
            </w:r>
            <w:r w:rsidRPr="007667C7">
              <w:rPr>
                <w:rFonts w:ascii="Arial" w:hAnsi="Arial"/>
              </w:rPr>
              <w:softHyphen/>
              <w:t>chasers in the states which have no such procedure before the sale of the securities.</w:t>
            </w:r>
          </w:p>
        </w:tc>
      </w:tr>
      <w:tr w:rsidR="00DC54EA" w:rsidRPr="007667C7" w14:paraId="1D6D5F90" w14:textId="77777777">
        <w:tc>
          <w:tcPr>
            <w:tcW w:w="10440" w:type="dxa"/>
            <w:tcBorders>
              <w:left w:val="single" w:sz="12" w:space="0" w:color="auto"/>
              <w:right w:val="single" w:sz="12" w:space="0" w:color="auto"/>
            </w:tcBorders>
          </w:tcPr>
          <w:p w14:paraId="44196610" w14:textId="77777777" w:rsidR="00DC54EA" w:rsidRPr="009A13E9" w:rsidRDefault="00DC54EA">
            <w:pPr>
              <w:ind w:left="360" w:right="200"/>
              <w:jc w:val="both"/>
              <w:rPr>
                <w:rFonts w:ascii="New Century Schlbk" w:hAnsi="New Century Schlbk"/>
                <w:sz w:val="16"/>
              </w:rPr>
            </w:pPr>
          </w:p>
        </w:tc>
      </w:tr>
      <w:tr w:rsidR="00DC54EA" w:rsidRPr="009A13E9" w14:paraId="4950ABDD" w14:textId="77777777">
        <w:tc>
          <w:tcPr>
            <w:tcW w:w="10440" w:type="dxa"/>
            <w:tcBorders>
              <w:left w:val="single" w:sz="12" w:space="0" w:color="auto"/>
              <w:right w:val="single" w:sz="12" w:space="0" w:color="auto"/>
            </w:tcBorders>
          </w:tcPr>
          <w:p w14:paraId="07F7D26F" w14:textId="77777777" w:rsidR="00DC54EA" w:rsidRPr="009A13E9" w:rsidRDefault="00DC54EA">
            <w:pPr>
              <w:ind w:left="360" w:right="200"/>
              <w:jc w:val="both"/>
              <w:rPr>
                <w:rFonts w:ascii="New Century Schlbk" w:hAnsi="New Century Schlbk"/>
                <w:sz w:val="20"/>
              </w:rPr>
            </w:pPr>
            <w:r w:rsidRPr="007667C7">
              <w:rPr>
                <w:rFonts w:ascii="Arial" w:hAnsi="Arial"/>
                <w:b/>
                <w:sz w:val="20"/>
              </w:rPr>
              <w:t>(</w:t>
            </w:r>
            <w:proofErr w:type="gramStart"/>
            <w:r w:rsidRPr="007667C7">
              <w:rPr>
                <w:rFonts w:ascii="Arial" w:hAnsi="Arial"/>
                <w:b/>
                <w:sz w:val="20"/>
              </w:rPr>
              <w:t>b</w:t>
            </w:r>
            <w:proofErr w:type="gramEnd"/>
            <w:r w:rsidRPr="007667C7">
              <w:rPr>
                <w:rFonts w:ascii="Arial" w:hAnsi="Arial"/>
                <w:b/>
                <w:sz w:val="20"/>
              </w:rPr>
              <w:t>)(2) Specific condition—</w:t>
            </w:r>
          </w:p>
        </w:tc>
      </w:tr>
      <w:tr w:rsidR="00DC54EA" w:rsidRPr="009A13E9" w14:paraId="0157F63B" w14:textId="77777777">
        <w:tc>
          <w:tcPr>
            <w:tcW w:w="10440" w:type="dxa"/>
            <w:tcBorders>
              <w:left w:val="single" w:sz="12" w:space="0" w:color="auto"/>
              <w:right w:val="single" w:sz="12" w:space="0" w:color="auto"/>
            </w:tcBorders>
          </w:tcPr>
          <w:p w14:paraId="36DE1853" w14:textId="77777777" w:rsidR="00DC54EA" w:rsidRPr="009A13E9" w:rsidRDefault="00DC54EA">
            <w:pPr>
              <w:ind w:left="360" w:right="200"/>
              <w:jc w:val="both"/>
              <w:rPr>
                <w:rFonts w:ascii="New Century Schlbk" w:hAnsi="New Century Schlbk"/>
                <w:sz w:val="16"/>
              </w:rPr>
            </w:pPr>
          </w:p>
        </w:tc>
      </w:tr>
      <w:tr w:rsidR="00DC54EA" w:rsidRPr="009A13E9" w14:paraId="2EB9B279" w14:textId="77777777">
        <w:tc>
          <w:tcPr>
            <w:tcW w:w="10440" w:type="dxa"/>
            <w:tcBorders>
              <w:left w:val="single" w:sz="12" w:space="0" w:color="auto"/>
              <w:right w:val="single" w:sz="12" w:space="0" w:color="auto"/>
            </w:tcBorders>
          </w:tcPr>
          <w:p w14:paraId="268DF340" w14:textId="77777777" w:rsidR="00DC54EA" w:rsidRPr="009A13E9" w:rsidRDefault="00DC54EA">
            <w:pPr>
              <w:ind w:left="360" w:right="200"/>
              <w:jc w:val="both"/>
              <w:rPr>
                <w:rFonts w:ascii="New Century Schlbk" w:hAnsi="New Century Schlbk"/>
                <w:sz w:val="20"/>
              </w:rPr>
            </w:pPr>
            <w:r w:rsidRPr="007667C7">
              <w:rPr>
                <w:rFonts w:ascii="Arial" w:hAnsi="Arial"/>
                <w:sz w:val="20"/>
              </w:rPr>
              <w:t>(</w:t>
            </w:r>
            <w:proofErr w:type="gramStart"/>
            <w:r w:rsidRPr="007667C7">
              <w:rPr>
                <w:rFonts w:ascii="Arial" w:hAnsi="Arial"/>
                <w:sz w:val="20"/>
              </w:rPr>
              <w:t>b</w:t>
            </w:r>
            <w:proofErr w:type="gramEnd"/>
            <w:r w:rsidRPr="007667C7">
              <w:rPr>
                <w:rFonts w:ascii="Arial" w:hAnsi="Arial"/>
                <w:sz w:val="20"/>
              </w:rPr>
              <w:t>)(2)(</w:t>
            </w:r>
            <w:proofErr w:type="spellStart"/>
            <w:r w:rsidRPr="007667C7">
              <w:rPr>
                <w:rFonts w:ascii="Arial" w:hAnsi="Arial"/>
                <w:sz w:val="20"/>
              </w:rPr>
              <w:t>i</w:t>
            </w:r>
            <w:proofErr w:type="spellEnd"/>
            <w:r w:rsidRPr="007667C7">
              <w:rPr>
                <w:rFonts w:ascii="Arial" w:hAnsi="Arial"/>
                <w:sz w:val="20"/>
              </w:rPr>
              <w:t>) Limitation on aggregate offering price. The aggregate offering price for an offering of securi</w:t>
            </w:r>
            <w:r w:rsidRPr="007667C7">
              <w:rPr>
                <w:rFonts w:ascii="Arial" w:hAnsi="Arial"/>
                <w:sz w:val="20"/>
              </w:rPr>
              <w:softHyphen/>
              <w:t>ties under this § 230.504, as defined in § 230.501(c), shall not exceed $1,000,000, less the aggregate offer</w:t>
            </w:r>
            <w:r w:rsidRPr="007667C7">
              <w:rPr>
                <w:rFonts w:ascii="Arial" w:hAnsi="Arial"/>
                <w:sz w:val="20"/>
              </w:rPr>
              <w:softHyphen/>
              <w:t>ing price for all securities sold within the twelve months before the start of and during the offering of se</w:t>
            </w:r>
            <w:r w:rsidRPr="007667C7">
              <w:rPr>
                <w:rFonts w:ascii="Arial" w:hAnsi="Arial"/>
                <w:sz w:val="20"/>
              </w:rPr>
              <w:softHyphen/>
              <w:t>curities under this § 230.504 in reliance on any exemption under section 3(b) of the Act or in violation of section 5(a) of the Act, provided that no more than $500,000 of such aggregate offering price is at</w:t>
            </w:r>
            <w:r w:rsidRPr="007667C7">
              <w:rPr>
                <w:rFonts w:ascii="Arial" w:hAnsi="Arial"/>
                <w:sz w:val="20"/>
              </w:rPr>
              <w:softHyphen/>
              <w:t>tributable to offers and sales of securities without registration under a state’s securities laws.</w:t>
            </w:r>
          </w:p>
        </w:tc>
      </w:tr>
      <w:tr w:rsidR="00DC54EA" w:rsidRPr="009A13E9" w14:paraId="21D04849" w14:textId="77777777">
        <w:tc>
          <w:tcPr>
            <w:tcW w:w="10440" w:type="dxa"/>
            <w:tcBorders>
              <w:left w:val="single" w:sz="12" w:space="0" w:color="auto"/>
              <w:right w:val="single" w:sz="12" w:space="0" w:color="auto"/>
            </w:tcBorders>
          </w:tcPr>
          <w:p w14:paraId="2500913B" w14:textId="77777777" w:rsidR="00DC54EA" w:rsidRPr="009A13E9" w:rsidRDefault="00DC54EA">
            <w:pPr>
              <w:ind w:left="360" w:right="200"/>
              <w:jc w:val="both"/>
              <w:rPr>
                <w:rFonts w:ascii="New Century Schlbk" w:hAnsi="New Century Schlbk"/>
                <w:sz w:val="20"/>
              </w:rPr>
            </w:pPr>
          </w:p>
        </w:tc>
      </w:tr>
      <w:tr w:rsidR="00DC54EA" w:rsidRPr="009A13E9" w14:paraId="7E87D8EC" w14:textId="77777777">
        <w:tc>
          <w:tcPr>
            <w:tcW w:w="10440" w:type="dxa"/>
            <w:tcBorders>
              <w:left w:val="single" w:sz="12" w:space="0" w:color="auto"/>
              <w:right w:val="single" w:sz="12" w:space="0" w:color="auto"/>
            </w:tcBorders>
          </w:tcPr>
          <w:p w14:paraId="4E71CB0F" w14:textId="77777777" w:rsidR="00DC54EA" w:rsidRPr="009A13E9" w:rsidRDefault="00DC54EA">
            <w:pPr>
              <w:ind w:left="360" w:right="200"/>
              <w:jc w:val="both"/>
              <w:rPr>
                <w:rFonts w:ascii="New Century Schlbk" w:hAnsi="New Century Schlbk"/>
                <w:sz w:val="20"/>
              </w:rPr>
            </w:pPr>
            <w:r w:rsidRPr="007667C7">
              <w:rPr>
                <w:rFonts w:ascii="Arial" w:hAnsi="Arial"/>
                <w:sz w:val="20"/>
              </w:rPr>
              <w:t>Note 1</w:t>
            </w:r>
            <w:proofErr w:type="gramStart"/>
            <w:r w:rsidRPr="007667C7">
              <w:rPr>
                <w:rFonts w:ascii="Arial" w:hAnsi="Arial"/>
                <w:sz w:val="20"/>
              </w:rPr>
              <w:t>.—</w:t>
            </w:r>
            <w:proofErr w:type="gramEnd"/>
            <w:r w:rsidRPr="007667C7">
              <w:rPr>
                <w:rFonts w:ascii="Arial" w:hAnsi="Arial"/>
                <w:sz w:val="20"/>
              </w:rPr>
              <w:t>The calculation of the aggregate offering price is illustrated as follows:</w:t>
            </w:r>
          </w:p>
        </w:tc>
      </w:tr>
      <w:tr w:rsidR="00DC54EA" w:rsidRPr="009A13E9" w14:paraId="73B7151C" w14:textId="77777777">
        <w:tc>
          <w:tcPr>
            <w:tcW w:w="10440" w:type="dxa"/>
            <w:tcBorders>
              <w:left w:val="single" w:sz="12" w:space="0" w:color="auto"/>
              <w:right w:val="single" w:sz="12" w:space="0" w:color="auto"/>
            </w:tcBorders>
          </w:tcPr>
          <w:p w14:paraId="3C99CF6B" w14:textId="77777777" w:rsidR="00DC54EA" w:rsidRPr="009A13E9" w:rsidRDefault="00DC54EA">
            <w:pPr>
              <w:ind w:left="360" w:right="200"/>
              <w:jc w:val="both"/>
              <w:rPr>
                <w:rFonts w:ascii="New Century Schlbk" w:hAnsi="New Century Schlbk"/>
                <w:sz w:val="20"/>
              </w:rPr>
            </w:pPr>
          </w:p>
        </w:tc>
      </w:tr>
      <w:tr w:rsidR="00DC54EA" w:rsidRPr="009A13E9" w14:paraId="2A32A7CC" w14:textId="77777777">
        <w:tc>
          <w:tcPr>
            <w:tcW w:w="10440" w:type="dxa"/>
            <w:tcBorders>
              <w:left w:val="single" w:sz="12" w:space="0" w:color="auto"/>
              <w:right w:val="single" w:sz="12" w:space="0" w:color="auto"/>
            </w:tcBorders>
          </w:tcPr>
          <w:p w14:paraId="51B1B9D3" w14:textId="77777777" w:rsidR="00DC54EA" w:rsidRPr="009A13E9" w:rsidRDefault="00DC54EA">
            <w:pPr>
              <w:ind w:left="360" w:right="200"/>
              <w:jc w:val="both"/>
              <w:rPr>
                <w:rFonts w:ascii="New Century Schlbk" w:hAnsi="New Century Schlbk"/>
                <w:sz w:val="20"/>
              </w:rPr>
            </w:pPr>
            <w:r w:rsidRPr="007667C7">
              <w:rPr>
                <w:rFonts w:ascii="Arial" w:hAnsi="Arial"/>
                <w:sz w:val="20"/>
              </w:rPr>
              <w:t>Example 1. If an issuer sells $500,000 worth of its securities pursuant to state registration on January 1, 1988 under this § 230.504, it would be able to sell an additional $500,000 worth of securities either pursuant to state registration or without state registration during the ensuing twelve-month period, pursuant to this § 230.504.</w:t>
            </w:r>
          </w:p>
        </w:tc>
      </w:tr>
      <w:tr w:rsidR="00DC54EA" w:rsidRPr="009A13E9" w14:paraId="0BCF5B1E" w14:textId="77777777">
        <w:tc>
          <w:tcPr>
            <w:tcW w:w="10440" w:type="dxa"/>
            <w:tcBorders>
              <w:left w:val="single" w:sz="12" w:space="0" w:color="auto"/>
              <w:right w:val="single" w:sz="12" w:space="0" w:color="auto"/>
            </w:tcBorders>
          </w:tcPr>
          <w:p w14:paraId="745C1645" w14:textId="77777777" w:rsidR="00DC54EA" w:rsidRPr="009A13E9" w:rsidRDefault="00DC54EA">
            <w:pPr>
              <w:ind w:left="360" w:right="200"/>
              <w:jc w:val="both"/>
              <w:rPr>
                <w:rFonts w:ascii="New Century Schlbk" w:hAnsi="New Century Schlbk"/>
                <w:sz w:val="20"/>
              </w:rPr>
            </w:pPr>
          </w:p>
        </w:tc>
      </w:tr>
      <w:tr w:rsidR="00DC54EA" w:rsidRPr="009A13E9" w14:paraId="3E849464" w14:textId="77777777">
        <w:tc>
          <w:tcPr>
            <w:tcW w:w="10440" w:type="dxa"/>
            <w:tcBorders>
              <w:left w:val="single" w:sz="12" w:space="0" w:color="auto"/>
              <w:right w:val="single" w:sz="12" w:space="0" w:color="auto"/>
            </w:tcBorders>
          </w:tcPr>
          <w:p w14:paraId="2CE73FBA" w14:textId="77777777" w:rsidR="00DC54EA" w:rsidRPr="009A13E9" w:rsidRDefault="00DC54EA">
            <w:pPr>
              <w:ind w:left="360" w:right="200"/>
              <w:jc w:val="both"/>
              <w:rPr>
                <w:rFonts w:ascii="New Century Schlbk" w:hAnsi="New Century Schlbk"/>
                <w:sz w:val="20"/>
              </w:rPr>
            </w:pPr>
            <w:r w:rsidRPr="007667C7">
              <w:rPr>
                <w:rFonts w:ascii="Arial" w:hAnsi="Arial"/>
                <w:sz w:val="20"/>
              </w:rPr>
              <w:t>Example 2. If an issuer sold $900,000 pursuant to state registration on June 1, 1987 under this § 230.504 and an additional $4,100,000 on December 1, 1987 under § 230.505, the issuer could not sell any of its se</w:t>
            </w:r>
            <w:r w:rsidRPr="007667C7">
              <w:rPr>
                <w:rFonts w:ascii="Arial" w:hAnsi="Arial"/>
                <w:sz w:val="20"/>
              </w:rPr>
              <w:softHyphen/>
              <w:t>curities under this § 230.504 until December 1, 1988.  Until then the issuer must count the December 1, 1987 sale towards the $1,000,000 limit within the preceding twelve months.</w:t>
            </w:r>
          </w:p>
        </w:tc>
      </w:tr>
      <w:tr w:rsidR="00DC54EA" w:rsidRPr="009A13E9" w14:paraId="7B559E03" w14:textId="77777777">
        <w:tc>
          <w:tcPr>
            <w:tcW w:w="10440" w:type="dxa"/>
            <w:tcBorders>
              <w:left w:val="single" w:sz="12" w:space="0" w:color="auto"/>
              <w:right w:val="single" w:sz="12" w:space="0" w:color="auto"/>
            </w:tcBorders>
          </w:tcPr>
          <w:p w14:paraId="7F3DA7A7" w14:textId="77777777" w:rsidR="00DC54EA" w:rsidRPr="009A13E9" w:rsidRDefault="00DC54EA">
            <w:pPr>
              <w:ind w:left="360" w:right="200"/>
              <w:jc w:val="both"/>
              <w:rPr>
                <w:rFonts w:ascii="New Century Schlbk" w:hAnsi="New Century Schlbk"/>
                <w:sz w:val="20"/>
              </w:rPr>
            </w:pPr>
          </w:p>
        </w:tc>
      </w:tr>
      <w:tr w:rsidR="00DC54EA" w:rsidRPr="009A13E9" w14:paraId="59F1FAC1" w14:textId="77777777">
        <w:tc>
          <w:tcPr>
            <w:tcW w:w="10440" w:type="dxa"/>
            <w:tcBorders>
              <w:left w:val="single" w:sz="12" w:space="0" w:color="auto"/>
              <w:right w:val="single" w:sz="12" w:space="0" w:color="auto"/>
            </w:tcBorders>
          </w:tcPr>
          <w:p w14:paraId="1E9BCC1B" w14:textId="77777777" w:rsidR="00DC54EA" w:rsidRPr="009A13E9" w:rsidRDefault="00DC54EA">
            <w:pPr>
              <w:ind w:left="360" w:right="200"/>
              <w:jc w:val="both"/>
              <w:rPr>
                <w:rFonts w:ascii="New Century Schlbk" w:hAnsi="New Century Schlbk"/>
                <w:sz w:val="20"/>
              </w:rPr>
            </w:pPr>
            <w:r w:rsidRPr="007667C7">
              <w:rPr>
                <w:rFonts w:ascii="Arial" w:hAnsi="Arial"/>
                <w:sz w:val="20"/>
              </w:rPr>
              <w:t>Note 2</w:t>
            </w:r>
            <w:proofErr w:type="gramStart"/>
            <w:r w:rsidRPr="007667C7">
              <w:rPr>
                <w:rFonts w:ascii="Arial" w:hAnsi="Arial"/>
                <w:sz w:val="20"/>
              </w:rPr>
              <w:t>.—</w:t>
            </w:r>
            <w:proofErr w:type="gramEnd"/>
            <w:r w:rsidRPr="007667C7">
              <w:rPr>
                <w:rFonts w:ascii="Arial" w:hAnsi="Arial"/>
                <w:sz w:val="20"/>
              </w:rPr>
              <w:t>If a transaction under this § 230.504 fails to meet the limitation on the aggregate offering price, it does not affect the availability of this § 230.504 for the other transactions considered in apply</w:t>
            </w:r>
            <w:r w:rsidRPr="007667C7">
              <w:rPr>
                <w:rFonts w:ascii="Arial" w:hAnsi="Arial"/>
                <w:sz w:val="20"/>
              </w:rPr>
              <w:softHyphen/>
              <w:t>ing such limitation.  For example, if an issuer sold $1,000,000 worth of its securities pursuant to state reg</w:t>
            </w:r>
            <w:r w:rsidRPr="007667C7">
              <w:rPr>
                <w:rFonts w:ascii="Arial" w:hAnsi="Arial"/>
                <w:sz w:val="20"/>
              </w:rPr>
              <w:softHyphen/>
              <w:t>istration on January 1, 1988 under this § 230.504 and an additional $500,000 worth on July 1, 1988, this § 230.504 would not be available for the later sale, but would still be applicable to the January 1, 1988 sale.</w:t>
            </w:r>
          </w:p>
        </w:tc>
      </w:tr>
      <w:tr w:rsidR="00DC54EA" w:rsidRPr="009A13E9" w14:paraId="779B5844" w14:textId="77777777">
        <w:tc>
          <w:tcPr>
            <w:tcW w:w="10440" w:type="dxa"/>
            <w:tcBorders>
              <w:left w:val="single" w:sz="12" w:space="0" w:color="auto"/>
              <w:right w:val="single" w:sz="12" w:space="0" w:color="auto"/>
            </w:tcBorders>
          </w:tcPr>
          <w:p w14:paraId="332D9AE0" w14:textId="77777777" w:rsidR="00DC54EA" w:rsidRPr="009A13E9" w:rsidRDefault="00DC54EA">
            <w:pPr>
              <w:ind w:left="360" w:right="200"/>
              <w:jc w:val="both"/>
              <w:rPr>
                <w:rFonts w:ascii="New Century Schlbk" w:hAnsi="New Century Schlbk"/>
                <w:sz w:val="20"/>
              </w:rPr>
            </w:pPr>
          </w:p>
        </w:tc>
      </w:tr>
      <w:tr w:rsidR="00DC54EA" w:rsidRPr="009A13E9" w14:paraId="23840B47" w14:textId="77777777">
        <w:tc>
          <w:tcPr>
            <w:tcW w:w="10440" w:type="dxa"/>
            <w:tcBorders>
              <w:left w:val="single" w:sz="12" w:space="0" w:color="auto"/>
              <w:right w:val="single" w:sz="12" w:space="0" w:color="auto"/>
            </w:tcBorders>
          </w:tcPr>
          <w:p w14:paraId="1D962131" w14:textId="77777777" w:rsidR="00DC54EA" w:rsidRPr="009A13E9" w:rsidRDefault="00DC54EA">
            <w:pPr>
              <w:ind w:left="360" w:right="200"/>
              <w:jc w:val="both"/>
              <w:rPr>
                <w:rFonts w:ascii="New Century Schlbk" w:hAnsi="New Century Schlbk"/>
                <w:sz w:val="20"/>
              </w:rPr>
            </w:pPr>
            <w:r w:rsidRPr="007667C7">
              <w:rPr>
                <w:rFonts w:ascii="Arial" w:hAnsi="Arial"/>
                <w:sz w:val="20"/>
              </w:rPr>
              <w:t>Note 3</w:t>
            </w:r>
            <w:proofErr w:type="gramStart"/>
            <w:r w:rsidRPr="007667C7">
              <w:rPr>
                <w:rFonts w:ascii="Arial" w:hAnsi="Arial"/>
                <w:sz w:val="20"/>
              </w:rPr>
              <w:t>.—</w:t>
            </w:r>
            <w:proofErr w:type="gramEnd"/>
            <w:r w:rsidRPr="007667C7">
              <w:rPr>
                <w:rFonts w:ascii="Arial" w:hAnsi="Arial"/>
                <w:sz w:val="20"/>
              </w:rPr>
              <w:t>In addition to the aggregation principles, issuers should be aware of the applicability of the in</w:t>
            </w:r>
            <w:r w:rsidRPr="007667C7">
              <w:rPr>
                <w:rFonts w:ascii="Arial" w:hAnsi="Arial"/>
                <w:sz w:val="20"/>
              </w:rPr>
              <w:softHyphen/>
              <w:t>tegration principles set forth in § 230.502(a).</w:t>
            </w:r>
          </w:p>
        </w:tc>
      </w:tr>
      <w:tr w:rsidR="00DC54EA" w:rsidRPr="009A13E9" w14:paraId="7D95033E" w14:textId="77777777">
        <w:tc>
          <w:tcPr>
            <w:tcW w:w="10440" w:type="dxa"/>
            <w:tcBorders>
              <w:left w:val="single" w:sz="12" w:space="0" w:color="auto"/>
              <w:right w:val="single" w:sz="12" w:space="0" w:color="auto"/>
            </w:tcBorders>
          </w:tcPr>
          <w:p w14:paraId="1BB1584B" w14:textId="77777777" w:rsidR="00DC54EA" w:rsidRPr="009A13E9" w:rsidRDefault="00DC54EA">
            <w:pPr>
              <w:ind w:left="360" w:right="200"/>
              <w:jc w:val="both"/>
              <w:rPr>
                <w:rFonts w:ascii="New Century Schlbk" w:hAnsi="New Century Schlbk"/>
                <w:sz w:val="20"/>
              </w:rPr>
            </w:pPr>
          </w:p>
        </w:tc>
      </w:tr>
      <w:tr w:rsidR="00DC54EA" w:rsidRPr="009A13E9" w14:paraId="1BF5486D" w14:textId="77777777">
        <w:tc>
          <w:tcPr>
            <w:tcW w:w="10440" w:type="dxa"/>
            <w:tcBorders>
              <w:left w:val="single" w:sz="12" w:space="0" w:color="auto"/>
              <w:right w:val="single" w:sz="12" w:space="0" w:color="auto"/>
            </w:tcBorders>
          </w:tcPr>
          <w:p w14:paraId="58AA6519"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w:t>
            </w:r>
            <w:proofErr w:type="gramStart"/>
            <w:r w:rsidRPr="007667C7">
              <w:rPr>
                <w:rFonts w:ascii="Arial" w:hAnsi="Arial"/>
                <w:sz w:val="20"/>
              </w:rPr>
              <w:t>b</w:t>
            </w:r>
            <w:proofErr w:type="gramEnd"/>
            <w:r w:rsidRPr="007667C7">
              <w:rPr>
                <w:rFonts w:ascii="Arial" w:hAnsi="Arial"/>
                <w:sz w:val="20"/>
              </w:rPr>
              <w:t>)(2)(ii) Advice about the limitations on resale. Except where the provision does not apply by virtue of paragraph (b)(1) of this section, the issuer, at a reasonable time prior to the sale of securities, shall ad</w:t>
            </w:r>
            <w:r w:rsidRPr="007667C7">
              <w:rPr>
                <w:rFonts w:ascii="Arial" w:hAnsi="Arial"/>
                <w:sz w:val="20"/>
              </w:rPr>
              <w:softHyphen/>
              <w:t>vise each purchaser of the limitations on resale in the manner contained in paragraph (d)(2) of § 230.502.</w:t>
            </w:r>
          </w:p>
        </w:tc>
      </w:tr>
      <w:tr w:rsidR="00DC54EA" w:rsidRPr="009A13E9" w14:paraId="06928D5C" w14:textId="77777777">
        <w:tc>
          <w:tcPr>
            <w:tcW w:w="10440" w:type="dxa"/>
            <w:tcBorders>
              <w:left w:val="single" w:sz="12" w:space="0" w:color="auto"/>
              <w:right w:val="single" w:sz="12" w:space="0" w:color="auto"/>
            </w:tcBorders>
          </w:tcPr>
          <w:p w14:paraId="2BE836FF" w14:textId="77777777" w:rsidR="00DC54EA" w:rsidRPr="009A13E9" w:rsidRDefault="00DC54EA">
            <w:pPr>
              <w:ind w:left="360" w:right="200"/>
              <w:jc w:val="both"/>
              <w:rPr>
                <w:rFonts w:ascii="New Century Schlbk" w:hAnsi="New Century Schlbk"/>
                <w:sz w:val="20"/>
              </w:rPr>
            </w:pPr>
          </w:p>
        </w:tc>
      </w:tr>
      <w:tr w:rsidR="00DC54EA" w:rsidRPr="009A13E9" w14:paraId="7342C8FD" w14:textId="77777777">
        <w:tc>
          <w:tcPr>
            <w:tcW w:w="10440" w:type="dxa"/>
            <w:tcBorders>
              <w:left w:val="single" w:sz="12" w:space="0" w:color="auto"/>
              <w:right w:val="single" w:sz="12" w:space="0" w:color="auto"/>
            </w:tcBorders>
          </w:tcPr>
          <w:p w14:paraId="3F45C928" w14:textId="77777777" w:rsidR="00DC54EA" w:rsidRPr="009A13E9" w:rsidRDefault="00DC54EA">
            <w:pPr>
              <w:ind w:left="360" w:right="200"/>
              <w:jc w:val="both"/>
              <w:rPr>
                <w:rFonts w:ascii="New Century Schlbk" w:hAnsi="New Century Schlbk"/>
                <w:sz w:val="20"/>
              </w:rPr>
            </w:pPr>
            <w:r w:rsidRPr="007667C7">
              <w:rPr>
                <w:rFonts w:ascii="Arial" w:hAnsi="Arial"/>
                <w:sz w:val="20"/>
              </w:rPr>
              <w:t>[53 FR 7869, March 10, 1988</w:t>
            </w:r>
            <w:proofErr w:type="gramStart"/>
            <w:r w:rsidRPr="007667C7">
              <w:rPr>
                <w:rFonts w:ascii="Arial" w:hAnsi="Arial"/>
                <w:sz w:val="20"/>
              </w:rPr>
              <w:t>;  54</w:t>
            </w:r>
            <w:proofErr w:type="gramEnd"/>
            <w:r w:rsidRPr="007667C7">
              <w:rPr>
                <w:rFonts w:ascii="Arial" w:hAnsi="Arial"/>
                <w:sz w:val="20"/>
              </w:rPr>
              <w:t xml:space="preserve"> FR 11372, March 20, 1989]</w:t>
            </w:r>
          </w:p>
        </w:tc>
      </w:tr>
      <w:tr w:rsidR="00DC54EA" w:rsidRPr="009A13E9" w14:paraId="0CD3FD5B" w14:textId="77777777">
        <w:tc>
          <w:tcPr>
            <w:tcW w:w="10440" w:type="dxa"/>
            <w:tcBorders>
              <w:left w:val="single" w:sz="12" w:space="0" w:color="auto"/>
              <w:right w:val="single" w:sz="12" w:space="0" w:color="auto"/>
            </w:tcBorders>
          </w:tcPr>
          <w:p w14:paraId="64257A5C" w14:textId="77777777" w:rsidR="00DC54EA" w:rsidRPr="009A13E9" w:rsidRDefault="00DC54EA">
            <w:pPr>
              <w:ind w:left="360" w:right="200"/>
              <w:jc w:val="both"/>
              <w:rPr>
                <w:rFonts w:ascii="New Century Schlbk" w:hAnsi="New Century Schlbk"/>
                <w:sz w:val="20"/>
              </w:rPr>
            </w:pPr>
          </w:p>
        </w:tc>
      </w:tr>
      <w:tr w:rsidR="00DC54EA" w:rsidRPr="009A13E9" w14:paraId="360441AC" w14:textId="77777777">
        <w:tc>
          <w:tcPr>
            <w:tcW w:w="10440" w:type="dxa"/>
            <w:tcBorders>
              <w:left w:val="single" w:sz="12" w:space="0" w:color="auto"/>
              <w:right w:val="single" w:sz="12" w:space="0" w:color="auto"/>
            </w:tcBorders>
          </w:tcPr>
          <w:p w14:paraId="3BAB4F0C"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AUTHORITY:  </w:t>
            </w:r>
            <w:proofErr w:type="spellStart"/>
            <w:r w:rsidRPr="007667C7">
              <w:rPr>
                <w:rFonts w:ascii="Arial" w:hAnsi="Arial"/>
                <w:sz w:val="20"/>
              </w:rPr>
              <w:t>Secs</w:t>
            </w:r>
            <w:proofErr w:type="spellEnd"/>
            <w:r w:rsidRPr="007667C7">
              <w:rPr>
                <w:rFonts w:ascii="Arial" w:hAnsi="Arial"/>
                <w:sz w:val="20"/>
              </w:rPr>
              <w:t>. 6, 7, 8, 10, 19(a), 48 Stat. 78, 79, 81, 85</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205, 209, 48 Stat. 906, 908</w:t>
            </w:r>
            <w:proofErr w:type="gramStart"/>
            <w:r w:rsidRPr="007667C7">
              <w:rPr>
                <w:rFonts w:ascii="Arial" w:hAnsi="Arial"/>
                <w:sz w:val="20"/>
              </w:rPr>
              <w:t>;  sec</w:t>
            </w:r>
            <w:proofErr w:type="gramEnd"/>
            <w:r w:rsidRPr="007667C7">
              <w:rPr>
                <w:rFonts w:ascii="Arial" w:hAnsi="Arial"/>
                <w:sz w:val="20"/>
              </w:rPr>
              <w:t xml:space="preserve">. 301, 54 Stat. 857;  sec. 8, 68 Stat. 685;  Sec. 308(a)(2), 90 Stat. 57;  </w:t>
            </w:r>
            <w:proofErr w:type="spellStart"/>
            <w:r w:rsidRPr="007667C7">
              <w:rPr>
                <w:rFonts w:ascii="Arial" w:hAnsi="Arial"/>
                <w:sz w:val="20"/>
              </w:rPr>
              <w:t>Secs</w:t>
            </w:r>
            <w:proofErr w:type="spellEnd"/>
            <w:r w:rsidRPr="007667C7">
              <w:rPr>
                <w:rFonts w:ascii="Arial" w:hAnsi="Arial"/>
                <w:sz w:val="20"/>
              </w:rPr>
              <w:t>. 3(b), 12, 13, 14, 15(d), 23(a), 48 Stat. 882, 892, 894, 895, 901</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203(a), 1, 3, 8, 49 Stat. 704, 1375, 1377, 1379; sec. 202, 68 Stat. 686</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4, 5, 6(d), 78 Stat. 569, 570-574</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1, 2, 3, 82 Stat. 454, 455</w:t>
            </w:r>
            <w:proofErr w:type="gramStart"/>
            <w:r w:rsidRPr="007667C7">
              <w:rPr>
                <w:rFonts w:ascii="Arial" w:hAnsi="Arial"/>
                <w:sz w:val="20"/>
              </w:rPr>
              <w:t xml:space="preserve">;  </w:t>
            </w:r>
            <w:proofErr w:type="spellStart"/>
            <w:r w:rsidRPr="007667C7">
              <w:rPr>
                <w:rFonts w:ascii="Arial" w:hAnsi="Arial"/>
                <w:sz w:val="20"/>
              </w:rPr>
              <w:t>secs</w:t>
            </w:r>
            <w:proofErr w:type="spellEnd"/>
            <w:proofErr w:type="gramEnd"/>
            <w:r w:rsidRPr="007667C7">
              <w:rPr>
                <w:rFonts w:ascii="Arial" w:hAnsi="Arial"/>
                <w:sz w:val="20"/>
              </w:rPr>
              <w:t>. 28(c), 1, 2, 3, 4, 5, 84 Stat. 1435, 1497</w:t>
            </w:r>
            <w:proofErr w:type="gramStart"/>
            <w:r w:rsidRPr="007667C7">
              <w:rPr>
                <w:rFonts w:ascii="Arial" w:hAnsi="Arial"/>
                <w:sz w:val="20"/>
              </w:rPr>
              <w:t>;  sec</w:t>
            </w:r>
            <w:proofErr w:type="gramEnd"/>
            <w:r w:rsidRPr="007667C7">
              <w:rPr>
                <w:rFonts w:ascii="Arial" w:hAnsi="Arial"/>
                <w:sz w:val="20"/>
              </w:rPr>
              <w:t xml:space="preserve">. 105(b), 88 Stat. 1503;  </w:t>
            </w:r>
            <w:proofErr w:type="spellStart"/>
            <w:r w:rsidRPr="007667C7">
              <w:rPr>
                <w:rFonts w:ascii="Arial" w:hAnsi="Arial"/>
                <w:sz w:val="20"/>
              </w:rPr>
              <w:t>secs</w:t>
            </w:r>
            <w:proofErr w:type="spellEnd"/>
            <w:r w:rsidRPr="007667C7">
              <w:rPr>
                <w:rFonts w:ascii="Arial" w:hAnsi="Arial"/>
                <w:sz w:val="20"/>
              </w:rPr>
              <w:t>. 8, 9, 10, 89 Stat. 117, 118, 119</w:t>
            </w:r>
            <w:proofErr w:type="gramStart"/>
            <w:r w:rsidRPr="007667C7">
              <w:rPr>
                <w:rFonts w:ascii="Arial" w:hAnsi="Arial"/>
                <w:sz w:val="20"/>
              </w:rPr>
              <w:t>;  sec</w:t>
            </w:r>
            <w:proofErr w:type="gramEnd"/>
            <w:r w:rsidRPr="007667C7">
              <w:rPr>
                <w:rFonts w:ascii="Arial" w:hAnsi="Arial"/>
                <w:sz w:val="20"/>
              </w:rPr>
              <w:t xml:space="preserve">. 308(b), 90 Stat. 57;  sec. 18, 89 Stat. 155;  </w:t>
            </w:r>
            <w:proofErr w:type="spellStart"/>
            <w:r w:rsidRPr="007667C7">
              <w:rPr>
                <w:rFonts w:ascii="Arial" w:hAnsi="Arial"/>
                <w:sz w:val="20"/>
              </w:rPr>
              <w:t>secs</w:t>
            </w:r>
            <w:proofErr w:type="spellEnd"/>
            <w:r w:rsidRPr="007667C7">
              <w:rPr>
                <w:rFonts w:ascii="Arial" w:hAnsi="Arial"/>
                <w:sz w:val="20"/>
              </w:rPr>
              <w:t>. 202, 203, 204, 91 Stat. 1494, 1498-1500</w:t>
            </w:r>
            <w:proofErr w:type="gramStart"/>
            <w:r w:rsidRPr="007667C7">
              <w:rPr>
                <w:rFonts w:ascii="Arial" w:hAnsi="Arial"/>
                <w:sz w:val="20"/>
              </w:rPr>
              <w:t>;  sec</w:t>
            </w:r>
            <w:proofErr w:type="gramEnd"/>
            <w:r w:rsidRPr="007667C7">
              <w:rPr>
                <w:rFonts w:ascii="Arial" w:hAnsi="Arial"/>
                <w:sz w:val="20"/>
              </w:rPr>
              <w:t>. 20(a), 49 Stat. 833;  sec. 319, 53 Stat. 1173;  sec. 38, 54 Stat. 841;  15 U.S.C. 77f, 77g, 77h, 77j, 77s(a), 78c(b), 78l, 78m, 78n, 78o(d), 78w(a), 79t(a), 77sss(a), 80a-37.</w:t>
            </w:r>
          </w:p>
        </w:tc>
      </w:tr>
      <w:tr w:rsidR="00DC54EA" w:rsidRPr="009A13E9" w14:paraId="3EC85B40" w14:textId="77777777">
        <w:tc>
          <w:tcPr>
            <w:tcW w:w="10440" w:type="dxa"/>
            <w:tcBorders>
              <w:left w:val="single" w:sz="12" w:space="0" w:color="auto"/>
              <w:right w:val="single" w:sz="12" w:space="0" w:color="auto"/>
            </w:tcBorders>
          </w:tcPr>
          <w:p w14:paraId="5C5833CE" w14:textId="77777777" w:rsidR="00DC54EA" w:rsidRPr="009A13E9" w:rsidRDefault="00DC54EA">
            <w:pPr>
              <w:ind w:left="360" w:right="200"/>
              <w:jc w:val="both"/>
              <w:rPr>
                <w:rFonts w:ascii="New Century Schlbk" w:hAnsi="New Century Schlbk"/>
                <w:sz w:val="20"/>
              </w:rPr>
            </w:pPr>
          </w:p>
        </w:tc>
      </w:tr>
      <w:tr w:rsidR="00DC54EA" w:rsidRPr="009A13E9" w14:paraId="605C7C78" w14:textId="77777777">
        <w:tc>
          <w:tcPr>
            <w:tcW w:w="10440" w:type="dxa"/>
            <w:tcBorders>
              <w:left w:val="single" w:sz="12" w:space="0" w:color="auto"/>
              <w:right w:val="single" w:sz="12" w:space="0" w:color="auto"/>
            </w:tcBorders>
          </w:tcPr>
          <w:p w14:paraId="276171EE" w14:textId="77777777" w:rsidR="00DC54EA" w:rsidRPr="009A13E9" w:rsidRDefault="00DC54EA">
            <w:pPr>
              <w:ind w:left="360" w:right="200"/>
              <w:jc w:val="both"/>
              <w:rPr>
                <w:rFonts w:ascii="New Century Schlbk" w:hAnsi="New Century Schlbk"/>
                <w:sz w:val="20"/>
              </w:rPr>
            </w:pPr>
            <w:r w:rsidRPr="007667C7">
              <w:rPr>
                <w:rFonts w:ascii="Arial" w:hAnsi="Arial"/>
                <w:sz w:val="20"/>
              </w:rPr>
              <w:t>Source:  Sections 230.490 to 230.494 contained in Regulation C, 12 FR 4076, June 24, 1947, unless oth</w:t>
            </w:r>
            <w:r w:rsidRPr="007667C7">
              <w:rPr>
                <w:rFonts w:ascii="Arial" w:hAnsi="Arial"/>
                <w:sz w:val="20"/>
              </w:rPr>
              <w:softHyphen/>
              <w:t>er</w:t>
            </w:r>
            <w:r w:rsidRPr="007667C7">
              <w:rPr>
                <w:rFonts w:ascii="Arial" w:hAnsi="Arial"/>
                <w:sz w:val="20"/>
              </w:rPr>
              <w:softHyphen/>
              <w:t>wise noted.</w:t>
            </w:r>
          </w:p>
        </w:tc>
      </w:tr>
      <w:tr w:rsidR="00DC54EA" w:rsidRPr="009A13E9" w14:paraId="7EC47DB9" w14:textId="77777777">
        <w:tc>
          <w:tcPr>
            <w:tcW w:w="10440" w:type="dxa"/>
            <w:tcBorders>
              <w:left w:val="single" w:sz="12" w:space="0" w:color="auto"/>
              <w:right w:val="single" w:sz="12" w:space="0" w:color="auto"/>
            </w:tcBorders>
          </w:tcPr>
          <w:p w14:paraId="571FEC99" w14:textId="77777777" w:rsidR="00DC54EA" w:rsidRPr="009A13E9" w:rsidRDefault="00DC54EA">
            <w:pPr>
              <w:ind w:left="360" w:right="200"/>
              <w:jc w:val="both"/>
              <w:rPr>
                <w:rFonts w:ascii="New Century Schlbk" w:hAnsi="New Century Schlbk"/>
                <w:sz w:val="20"/>
              </w:rPr>
            </w:pPr>
          </w:p>
        </w:tc>
      </w:tr>
      <w:tr w:rsidR="00DC54EA" w:rsidRPr="007667C7" w14:paraId="3E121D0B" w14:textId="77777777">
        <w:tc>
          <w:tcPr>
            <w:tcW w:w="10440" w:type="dxa"/>
            <w:tcBorders>
              <w:left w:val="single" w:sz="12" w:space="0" w:color="auto"/>
              <w:bottom w:val="single" w:sz="12" w:space="0" w:color="auto"/>
              <w:right w:val="single" w:sz="12" w:space="0" w:color="auto"/>
            </w:tcBorders>
          </w:tcPr>
          <w:p w14:paraId="531821BC" w14:textId="77777777" w:rsidR="00DC54EA" w:rsidRPr="007667C7" w:rsidRDefault="00DC54EA">
            <w:pPr>
              <w:ind w:left="360" w:right="200"/>
              <w:jc w:val="both"/>
              <w:rPr>
                <w:rFonts w:ascii="Arial" w:hAnsi="Arial"/>
                <w:sz w:val="20"/>
              </w:rPr>
            </w:pPr>
            <w:r w:rsidRPr="007667C7">
              <w:rPr>
                <w:rFonts w:ascii="Arial" w:hAnsi="Arial"/>
                <w:sz w:val="20"/>
              </w:rPr>
              <w:t>Note</w:t>
            </w:r>
            <w:proofErr w:type="gramStart"/>
            <w:r w:rsidRPr="007667C7">
              <w:rPr>
                <w:rFonts w:ascii="Arial" w:hAnsi="Arial"/>
                <w:sz w:val="20"/>
              </w:rPr>
              <w:t>.—</w:t>
            </w:r>
            <w:proofErr w:type="gramEnd"/>
            <w:r w:rsidRPr="007667C7">
              <w:rPr>
                <w:rFonts w:ascii="Arial" w:hAnsi="Arial"/>
                <w:sz w:val="20"/>
              </w:rPr>
              <w:t>In §§ 230.400 to 230.499, the numbers to the right of the decimal point correspond with the re</w:t>
            </w:r>
            <w:r w:rsidRPr="007667C7">
              <w:rPr>
                <w:rFonts w:ascii="Arial" w:hAnsi="Arial"/>
                <w:sz w:val="20"/>
              </w:rPr>
              <w:softHyphen/>
              <w:t>spective rule number in Regulation C, under the Securities Act of 1933.</w:t>
            </w:r>
          </w:p>
          <w:p w14:paraId="5FD30921" w14:textId="77777777" w:rsidR="00DC54EA" w:rsidRPr="007667C7" w:rsidRDefault="00DC54EA">
            <w:pPr>
              <w:ind w:left="360" w:right="200"/>
              <w:jc w:val="both"/>
              <w:rPr>
                <w:rFonts w:ascii="Arial" w:hAnsi="Arial"/>
                <w:sz w:val="20"/>
              </w:rPr>
            </w:pPr>
          </w:p>
        </w:tc>
      </w:tr>
    </w:tbl>
    <w:p w14:paraId="57F0F19B" w14:textId="77777777" w:rsidR="00DC54EA" w:rsidRPr="007667C7" w:rsidRDefault="00DC54EA">
      <w:pPr>
        <w:jc w:val="both"/>
        <w:rPr>
          <w:rFonts w:ascii="Arial" w:hAnsi="Arial"/>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2EC278EC" w14:textId="77777777">
        <w:tc>
          <w:tcPr>
            <w:tcW w:w="10440" w:type="dxa"/>
            <w:tcBorders>
              <w:top w:val="single" w:sz="12" w:space="0" w:color="auto"/>
              <w:left w:val="single" w:sz="12" w:space="0" w:color="auto"/>
              <w:right w:val="single" w:sz="12" w:space="0" w:color="auto"/>
            </w:tcBorders>
          </w:tcPr>
          <w:p w14:paraId="5171B381" w14:textId="77777777" w:rsidR="00DC54EA" w:rsidRPr="007667C7" w:rsidRDefault="00DC54EA">
            <w:pPr>
              <w:pStyle w:val="CaseSyn"/>
              <w:spacing w:line="240" w:lineRule="auto"/>
              <w:rPr>
                <w:rFonts w:ascii="Arial" w:hAnsi="Arial"/>
                <w:smallCaps w:val="0"/>
                <w:sz w:val="16"/>
              </w:rPr>
            </w:pPr>
          </w:p>
          <w:p w14:paraId="120040CB" w14:textId="77777777" w:rsidR="00DC54EA" w:rsidRPr="009A13E9" w:rsidRDefault="00DC54EA">
            <w:pPr>
              <w:pStyle w:val="Heading2"/>
              <w:rPr>
                <w:b w:val="0"/>
                <w:sz w:val="20"/>
              </w:rPr>
            </w:pPr>
            <w:r w:rsidRPr="007667C7">
              <w:rPr>
                <w:rFonts w:ascii="Arial" w:hAnsi="Arial"/>
                <w:sz w:val="20"/>
              </w:rPr>
              <w:t>Additional Background—</w:t>
            </w:r>
          </w:p>
        </w:tc>
      </w:tr>
      <w:tr w:rsidR="00DC54EA" w:rsidRPr="007667C7" w14:paraId="759D461F" w14:textId="77777777">
        <w:tc>
          <w:tcPr>
            <w:tcW w:w="10440" w:type="dxa"/>
            <w:tcBorders>
              <w:left w:val="single" w:sz="12" w:space="0" w:color="auto"/>
              <w:right w:val="single" w:sz="12" w:space="0" w:color="auto"/>
            </w:tcBorders>
          </w:tcPr>
          <w:p w14:paraId="75A5D304" w14:textId="77777777" w:rsidR="00DC54EA" w:rsidRPr="009A13E9" w:rsidRDefault="00DC54EA">
            <w:pPr>
              <w:ind w:left="360" w:right="200"/>
              <w:jc w:val="both"/>
              <w:rPr>
                <w:rFonts w:ascii="New Century Schlbk" w:hAnsi="New Century Schlbk"/>
                <w:sz w:val="16"/>
              </w:rPr>
            </w:pPr>
          </w:p>
        </w:tc>
      </w:tr>
      <w:tr w:rsidR="00DC54EA" w:rsidRPr="009A13E9" w14:paraId="3E748AE0" w14:textId="77777777">
        <w:tc>
          <w:tcPr>
            <w:tcW w:w="10440" w:type="dxa"/>
            <w:tcBorders>
              <w:left w:val="single" w:sz="12" w:space="0" w:color="auto"/>
              <w:right w:val="single" w:sz="12" w:space="0" w:color="auto"/>
            </w:tcBorders>
          </w:tcPr>
          <w:p w14:paraId="2D981544" w14:textId="77777777" w:rsidR="00DC54EA" w:rsidRPr="009A13E9" w:rsidRDefault="00DC54EA">
            <w:pPr>
              <w:pStyle w:val="Heading2"/>
              <w:rPr>
                <w:b w:val="0"/>
                <w:smallCaps w:val="0"/>
                <w:sz w:val="20"/>
              </w:rPr>
            </w:pPr>
            <w:r w:rsidRPr="007667C7">
              <w:rPr>
                <w:rFonts w:ascii="Arial" w:hAnsi="Arial"/>
                <w:smallCaps w:val="0"/>
              </w:rPr>
              <w:t>United States Code Annotated</w:t>
            </w:r>
          </w:p>
        </w:tc>
      </w:tr>
      <w:tr w:rsidR="00DC54EA" w:rsidRPr="009A13E9" w14:paraId="65DD83AE" w14:textId="77777777">
        <w:tc>
          <w:tcPr>
            <w:tcW w:w="10440" w:type="dxa"/>
            <w:tcBorders>
              <w:left w:val="single" w:sz="12" w:space="0" w:color="auto"/>
              <w:right w:val="single" w:sz="12" w:space="0" w:color="auto"/>
            </w:tcBorders>
          </w:tcPr>
          <w:p w14:paraId="18007D8F" w14:textId="77777777" w:rsidR="00DC54EA" w:rsidRPr="009A13E9" w:rsidRDefault="00DC54EA">
            <w:pPr>
              <w:ind w:left="360" w:right="200"/>
              <w:jc w:val="both"/>
              <w:rPr>
                <w:rFonts w:ascii="New Century Schlbk" w:hAnsi="New Century Schlbk"/>
                <w:sz w:val="16"/>
              </w:rPr>
            </w:pPr>
          </w:p>
        </w:tc>
      </w:tr>
      <w:tr w:rsidR="00DC54EA" w:rsidRPr="009A13E9" w14:paraId="038A7B4D" w14:textId="77777777">
        <w:tc>
          <w:tcPr>
            <w:tcW w:w="10440" w:type="dxa"/>
            <w:tcBorders>
              <w:left w:val="single" w:sz="12" w:space="0" w:color="auto"/>
              <w:right w:val="single" w:sz="12" w:space="0" w:color="auto"/>
            </w:tcBorders>
          </w:tcPr>
          <w:p w14:paraId="7E1194E8" w14:textId="77777777" w:rsidR="00DC54EA" w:rsidRPr="009A13E9" w:rsidRDefault="00DC54EA">
            <w:pPr>
              <w:ind w:left="360" w:right="200"/>
              <w:jc w:val="both"/>
              <w:rPr>
                <w:rFonts w:ascii="New Century Schlbk" w:hAnsi="New Century Schlbk"/>
                <w:sz w:val="20"/>
              </w:rPr>
            </w:pPr>
            <w:r w:rsidRPr="007667C7">
              <w:rPr>
                <w:rFonts w:ascii="Arial" w:hAnsi="Arial"/>
                <w:sz w:val="20"/>
              </w:rPr>
              <w:tab/>
              <w:t xml:space="preserve">Published by West Publishing Company, the </w:t>
            </w:r>
            <w:r w:rsidRPr="007667C7">
              <w:rPr>
                <w:rFonts w:ascii="Arial" w:hAnsi="Arial"/>
                <w:b/>
                <w:sz w:val="20"/>
              </w:rPr>
              <w:t>United States Code Annotated</w:t>
            </w:r>
            <w:r w:rsidRPr="007667C7">
              <w:rPr>
                <w:rFonts w:ascii="Arial" w:hAnsi="Arial"/>
                <w:sz w:val="20"/>
              </w:rPr>
              <w:t xml:space="preserve"> contains the complete text of laws enacted by Congress that are included in the United States Code (discussed above), together with case notes (known as annotations) of judicial decisions that interpret and apply specific sections of the statutes.  Also included are the text of presidential proclamations and executive orders, specially prepared research aids, historical notes, and library references.  The following are ex</w:t>
            </w:r>
            <w:r w:rsidRPr="007667C7">
              <w:rPr>
                <w:rFonts w:ascii="Arial" w:hAnsi="Arial"/>
                <w:sz w:val="20"/>
              </w:rPr>
              <w:softHyphen/>
              <w:t>cerpts from the materials found at Section 1 of Title 15 of the United States Code Annotated (15 U.S.C.A. § 1), including the historical notes and selected references.</w:t>
            </w:r>
          </w:p>
        </w:tc>
      </w:tr>
      <w:tr w:rsidR="00DC54EA" w:rsidRPr="007667C7" w14:paraId="547B5559" w14:textId="77777777">
        <w:tc>
          <w:tcPr>
            <w:tcW w:w="10440" w:type="dxa"/>
            <w:tcBorders>
              <w:left w:val="single" w:sz="12" w:space="0" w:color="auto"/>
              <w:right w:val="single" w:sz="12" w:space="0" w:color="auto"/>
            </w:tcBorders>
          </w:tcPr>
          <w:p w14:paraId="72A8E58D" w14:textId="77777777" w:rsidR="00DC54EA" w:rsidRPr="009A13E9" w:rsidRDefault="00DC54EA">
            <w:pPr>
              <w:ind w:left="360" w:right="200"/>
              <w:jc w:val="both"/>
              <w:rPr>
                <w:rFonts w:ascii="New Century Schlbk" w:hAnsi="New Century Schlbk"/>
                <w:sz w:val="20"/>
              </w:rPr>
            </w:pPr>
          </w:p>
        </w:tc>
      </w:tr>
      <w:tr w:rsidR="00DC54EA" w:rsidRPr="007667C7" w14:paraId="23959EEF" w14:textId="77777777">
        <w:tc>
          <w:tcPr>
            <w:tcW w:w="10440" w:type="dxa"/>
            <w:tcBorders>
              <w:left w:val="single" w:sz="12" w:space="0" w:color="auto"/>
              <w:right w:val="single" w:sz="12" w:space="0" w:color="auto"/>
            </w:tcBorders>
          </w:tcPr>
          <w:p w14:paraId="1A860C61" w14:textId="77777777" w:rsidR="00DC54EA" w:rsidRPr="009A13E9" w:rsidRDefault="00DC54EA">
            <w:pPr>
              <w:ind w:left="360" w:right="200"/>
              <w:jc w:val="center"/>
              <w:rPr>
                <w:rFonts w:ascii="New Century Schlbk" w:hAnsi="New Century Schlbk"/>
                <w:sz w:val="20"/>
              </w:rPr>
            </w:pPr>
            <w:r w:rsidRPr="007667C7">
              <w:rPr>
                <w:rFonts w:ascii="Arial" w:hAnsi="Arial"/>
                <w:b/>
                <w:sz w:val="20"/>
              </w:rPr>
              <w:t>TITLE 15.  COMMERCE AND TRADE</w:t>
            </w:r>
          </w:p>
        </w:tc>
      </w:tr>
      <w:tr w:rsidR="00DC54EA" w:rsidRPr="009A13E9" w14:paraId="7C65E47B" w14:textId="77777777">
        <w:tc>
          <w:tcPr>
            <w:tcW w:w="10440" w:type="dxa"/>
            <w:tcBorders>
              <w:left w:val="single" w:sz="12" w:space="0" w:color="auto"/>
              <w:right w:val="single" w:sz="12" w:space="0" w:color="auto"/>
            </w:tcBorders>
          </w:tcPr>
          <w:p w14:paraId="3DFF0B6B"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CHAPTER 1—MONOPOLIES AND COMBINATIONS IN RESTRAINT OF TRADE</w:t>
            </w:r>
          </w:p>
        </w:tc>
      </w:tr>
      <w:tr w:rsidR="00DC54EA" w:rsidRPr="007667C7" w14:paraId="1E6D70CE" w14:textId="77777777">
        <w:tc>
          <w:tcPr>
            <w:tcW w:w="10440" w:type="dxa"/>
            <w:tcBorders>
              <w:left w:val="single" w:sz="12" w:space="0" w:color="auto"/>
              <w:right w:val="single" w:sz="12" w:space="0" w:color="auto"/>
            </w:tcBorders>
          </w:tcPr>
          <w:p w14:paraId="6BFB3000" w14:textId="77777777" w:rsidR="00DC54EA" w:rsidRPr="009A13E9" w:rsidRDefault="00DC54EA">
            <w:pPr>
              <w:ind w:left="360" w:right="200"/>
              <w:jc w:val="both"/>
              <w:rPr>
                <w:rFonts w:ascii="New Century Schlbk" w:hAnsi="New Century Schlbk"/>
                <w:sz w:val="16"/>
              </w:rPr>
            </w:pPr>
          </w:p>
        </w:tc>
      </w:tr>
      <w:tr w:rsidR="00DC54EA" w:rsidRPr="009A13E9" w14:paraId="329A38B3" w14:textId="77777777">
        <w:tc>
          <w:tcPr>
            <w:tcW w:w="10440" w:type="dxa"/>
            <w:tcBorders>
              <w:left w:val="single" w:sz="12" w:space="0" w:color="auto"/>
              <w:right w:val="single" w:sz="12" w:space="0" w:color="auto"/>
            </w:tcBorders>
          </w:tcPr>
          <w:p w14:paraId="678D4B9A" w14:textId="77777777" w:rsidR="00DC54EA" w:rsidRPr="009A13E9" w:rsidRDefault="00DC54EA">
            <w:pPr>
              <w:ind w:left="360" w:right="200"/>
              <w:jc w:val="both"/>
              <w:rPr>
                <w:rFonts w:ascii="New Century Schlbk" w:hAnsi="New Century Schlbk"/>
                <w:sz w:val="20"/>
              </w:rPr>
            </w:pPr>
            <w:r w:rsidRPr="007667C7">
              <w:rPr>
                <w:rFonts w:ascii="Arial" w:hAnsi="Arial"/>
                <w:b/>
                <w:sz w:val="20"/>
              </w:rPr>
              <w:t>§ 1. Trusts, etc., in restraint of trade illegal</w:t>
            </w:r>
            <w:proofErr w:type="gramStart"/>
            <w:r w:rsidRPr="007667C7">
              <w:rPr>
                <w:rFonts w:ascii="Arial" w:hAnsi="Arial"/>
                <w:b/>
                <w:sz w:val="20"/>
              </w:rPr>
              <w:t>;  penalty</w:t>
            </w:r>
            <w:proofErr w:type="gramEnd"/>
          </w:p>
        </w:tc>
      </w:tr>
      <w:tr w:rsidR="00DC54EA" w:rsidRPr="009A13E9" w14:paraId="38A4E04E" w14:textId="77777777">
        <w:tc>
          <w:tcPr>
            <w:tcW w:w="10440" w:type="dxa"/>
            <w:tcBorders>
              <w:left w:val="single" w:sz="12" w:space="0" w:color="auto"/>
              <w:right w:val="single" w:sz="12" w:space="0" w:color="auto"/>
            </w:tcBorders>
          </w:tcPr>
          <w:p w14:paraId="617DF820" w14:textId="77777777" w:rsidR="00DC54EA" w:rsidRPr="009A13E9" w:rsidRDefault="00DC54EA">
            <w:pPr>
              <w:ind w:left="360" w:right="200"/>
              <w:jc w:val="both"/>
              <w:rPr>
                <w:rFonts w:ascii="New Century Schlbk" w:hAnsi="New Century Schlbk"/>
                <w:sz w:val="16"/>
              </w:rPr>
            </w:pPr>
          </w:p>
        </w:tc>
      </w:tr>
      <w:tr w:rsidR="00DC54EA" w:rsidRPr="009A13E9" w14:paraId="6BBD8177" w14:textId="77777777">
        <w:tc>
          <w:tcPr>
            <w:tcW w:w="10440" w:type="dxa"/>
            <w:tcBorders>
              <w:left w:val="single" w:sz="12" w:space="0" w:color="auto"/>
              <w:right w:val="single" w:sz="12" w:space="0" w:color="auto"/>
            </w:tcBorders>
          </w:tcPr>
          <w:p w14:paraId="283DF3C4" w14:textId="77777777" w:rsidR="00DC54EA" w:rsidRPr="009A13E9" w:rsidRDefault="00DC54EA">
            <w:pPr>
              <w:ind w:left="360" w:right="200"/>
              <w:jc w:val="both"/>
              <w:rPr>
                <w:rFonts w:ascii="New Century Schlbk" w:hAnsi="New Century Schlbk"/>
                <w:sz w:val="20"/>
              </w:rPr>
            </w:pPr>
            <w:r w:rsidRPr="007667C7">
              <w:rPr>
                <w:rFonts w:ascii="Arial" w:hAnsi="Arial"/>
                <w:sz w:val="20"/>
              </w:rPr>
              <w:t>Every contract, combination in the form of trust or otherwise, or conspiracy, in restraint of trade or com</w:t>
            </w:r>
            <w:r w:rsidRPr="007667C7">
              <w:rPr>
                <w:rFonts w:ascii="Arial" w:hAnsi="Arial"/>
                <w:sz w:val="20"/>
              </w:rPr>
              <w:softHyphen/>
              <w:t>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one mil</w:t>
            </w:r>
            <w:r w:rsidRPr="007667C7">
              <w:rPr>
                <w:rFonts w:ascii="Arial" w:hAnsi="Arial"/>
                <w:sz w:val="20"/>
              </w:rPr>
              <w:softHyphen/>
              <w:t>lion dollars if a corporation, or, if any other person, one hundred thousand dollars, or by im</w:t>
            </w:r>
            <w:r w:rsidRPr="007667C7">
              <w:rPr>
                <w:rFonts w:ascii="Arial" w:hAnsi="Arial"/>
                <w:sz w:val="20"/>
              </w:rPr>
              <w:softHyphen/>
              <w:t>prisonment not exceeding three years, or by both said punishments, in the discretion of the court.</w:t>
            </w:r>
          </w:p>
        </w:tc>
      </w:tr>
      <w:tr w:rsidR="00DC54EA" w:rsidRPr="009A13E9" w14:paraId="43951082" w14:textId="77777777">
        <w:tc>
          <w:tcPr>
            <w:tcW w:w="10440" w:type="dxa"/>
            <w:tcBorders>
              <w:left w:val="single" w:sz="12" w:space="0" w:color="auto"/>
              <w:right w:val="single" w:sz="12" w:space="0" w:color="auto"/>
            </w:tcBorders>
          </w:tcPr>
          <w:p w14:paraId="601C9536" w14:textId="77777777" w:rsidR="00DC54EA" w:rsidRPr="009A13E9" w:rsidRDefault="00DC54EA">
            <w:pPr>
              <w:ind w:left="360" w:right="200"/>
              <w:jc w:val="both"/>
              <w:rPr>
                <w:rFonts w:ascii="New Century Schlbk" w:hAnsi="New Century Schlbk"/>
                <w:sz w:val="16"/>
              </w:rPr>
            </w:pPr>
          </w:p>
        </w:tc>
      </w:tr>
      <w:tr w:rsidR="00DC54EA" w:rsidRPr="009A13E9" w14:paraId="4FA4AA94" w14:textId="77777777">
        <w:tc>
          <w:tcPr>
            <w:tcW w:w="10440" w:type="dxa"/>
            <w:tcBorders>
              <w:left w:val="single" w:sz="12" w:space="0" w:color="auto"/>
              <w:right w:val="single" w:sz="12" w:space="0" w:color="auto"/>
            </w:tcBorders>
          </w:tcPr>
          <w:p w14:paraId="48A7278A" w14:textId="77777777" w:rsidR="00DC54EA" w:rsidRPr="009A13E9" w:rsidRDefault="00DC54EA">
            <w:pPr>
              <w:ind w:left="360" w:right="200"/>
              <w:jc w:val="both"/>
              <w:rPr>
                <w:rFonts w:ascii="New Century Schlbk" w:hAnsi="New Century Schlbk"/>
                <w:sz w:val="20"/>
              </w:rPr>
            </w:pPr>
            <w:r w:rsidRPr="007667C7">
              <w:rPr>
                <w:rFonts w:ascii="Arial" w:hAnsi="Arial"/>
                <w:sz w:val="20"/>
              </w:rPr>
              <w:t>(July 2, 1890, c. 647, § 1, 26 Stat. 209</w:t>
            </w:r>
            <w:proofErr w:type="gramStart"/>
            <w:r w:rsidRPr="007667C7">
              <w:rPr>
                <w:rFonts w:ascii="Arial" w:hAnsi="Arial"/>
                <w:sz w:val="20"/>
              </w:rPr>
              <w:t>;  Aug</w:t>
            </w:r>
            <w:proofErr w:type="gramEnd"/>
            <w:r w:rsidRPr="007667C7">
              <w:rPr>
                <w:rFonts w:ascii="Arial" w:hAnsi="Arial"/>
                <w:sz w:val="20"/>
              </w:rPr>
              <w:t>. 17, 1937, c. 690, Title VIII, 50 Stat. 693;  July 7, 1955, c. 281, 69 Stat. 282.)</w:t>
            </w:r>
          </w:p>
        </w:tc>
      </w:tr>
      <w:tr w:rsidR="00DC54EA" w:rsidRPr="009A13E9" w14:paraId="1C3F93A0" w14:textId="77777777">
        <w:tc>
          <w:tcPr>
            <w:tcW w:w="10440" w:type="dxa"/>
            <w:tcBorders>
              <w:left w:val="single" w:sz="12" w:space="0" w:color="auto"/>
              <w:right w:val="single" w:sz="12" w:space="0" w:color="auto"/>
            </w:tcBorders>
          </w:tcPr>
          <w:p w14:paraId="7B30DA9C" w14:textId="77777777" w:rsidR="00DC54EA" w:rsidRPr="009A13E9" w:rsidRDefault="00DC54EA">
            <w:pPr>
              <w:ind w:left="360" w:right="200"/>
              <w:jc w:val="both"/>
              <w:rPr>
                <w:rFonts w:ascii="New Century Schlbk" w:hAnsi="New Century Schlbk"/>
                <w:sz w:val="16"/>
              </w:rPr>
            </w:pPr>
          </w:p>
        </w:tc>
      </w:tr>
      <w:tr w:rsidR="00DC54EA" w:rsidRPr="009A13E9" w14:paraId="37114187" w14:textId="77777777">
        <w:tc>
          <w:tcPr>
            <w:tcW w:w="10440" w:type="dxa"/>
            <w:tcBorders>
              <w:left w:val="single" w:sz="12" w:space="0" w:color="auto"/>
              <w:right w:val="single" w:sz="12" w:space="0" w:color="auto"/>
            </w:tcBorders>
          </w:tcPr>
          <w:p w14:paraId="4E0F2BD4" w14:textId="77777777" w:rsidR="00DC54EA" w:rsidRPr="009A13E9" w:rsidRDefault="00DC54EA">
            <w:pPr>
              <w:ind w:left="360" w:right="200"/>
              <w:jc w:val="both"/>
              <w:rPr>
                <w:rFonts w:ascii="New Century Schlbk" w:hAnsi="New Century Schlbk"/>
                <w:sz w:val="20"/>
              </w:rPr>
            </w:pPr>
            <w:r w:rsidRPr="007667C7">
              <w:rPr>
                <w:rFonts w:ascii="Arial" w:hAnsi="Arial"/>
                <w:sz w:val="20"/>
              </w:rPr>
              <w:lastRenderedPageBreak/>
              <w:t xml:space="preserve">(As amended Dec. 21, 1974, </w:t>
            </w:r>
            <w:proofErr w:type="spellStart"/>
            <w:r w:rsidRPr="007667C7">
              <w:rPr>
                <w:rFonts w:ascii="Arial" w:hAnsi="Arial"/>
                <w:sz w:val="20"/>
              </w:rPr>
              <w:t>Pub.L</w:t>
            </w:r>
            <w:proofErr w:type="spellEnd"/>
            <w:r w:rsidRPr="007667C7">
              <w:rPr>
                <w:rFonts w:ascii="Arial" w:hAnsi="Arial"/>
                <w:sz w:val="20"/>
              </w:rPr>
              <w:t>. 93-528, § 3, 88 Stat. 1708</w:t>
            </w:r>
            <w:proofErr w:type="gramStart"/>
            <w:r w:rsidRPr="007667C7">
              <w:rPr>
                <w:rFonts w:ascii="Arial" w:hAnsi="Arial"/>
                <w:sz w:val="20"/>
              </w:rPr>
              <w:t>;  Dec</w:t>
            </w:r>
            <w:proofErr w:type="gramEnd"/>
            <w:r w:rsidRPr="007667C7">
              <w:rPr>
                <w:rFonts w:ascii="Arial" w:hAnsi="Arial"/>
                <w:sz w:val="20"/>
              </w:rPr>
              <w:t xml:space="preserve">. 12, 1975, </w:t>
            </w:r>
            <w:proofErr w:type="spellStart"/>
            <w:r w:rsidRPr="007667C7">
              <w:rPr>
                <w:rFonts w:ascii="Arial" w:hAnsi="Arial"/>
                <w:sz w:val="20"/>
              </w:rPr>
              <w:t>Pub.L</w:t>
            </w:r>
            <w:proofErr w:type="spellEnd"/>
            <w:r w:rsidRPr="007667C7">
              <w:rPr>
                <w:rFonts w:ascii="Arial" w:hAnsi="Arial"/>
                <w:sz w:val="20"/>
              </w:rPr>
              <w:t>. 94-145, § 2, 89 Stat. 801.)</w:t>
            </w:r>
          </w:p>
        </w:tc>
      </w:tr>
      <w:tr w:rsidR="00DC54EA" w:rsidRPr="007667C7" w14:paraId="55E81177" w14:textId="77777777">
        <w:tc>
          <w:tcPr>
            <w:tcW w:w="10440" w:type="dxa"/>
            <w:tcBorders>
              <w:left w:val="single" w:sz="12" w:space="0" w:color="auto"/>
              <w:right w:val="single" w:sz="12" w:space="0" w:color="auto"/>
            </w:tcBorders>
          </w:tcPr>
          <w:p w14:paraId="2C0BA5E5" w14:textId="77777777" w:rsidR="00DC54EA" w:rsidRPr="009A13E9" w:rsidRDefault="00DC54EA">
            <w:pPr>
              <w:ind w:left="360" w:right="200"/>
              <w:jc w:val="both"/>
              <w:rPr>
                <w:rFonts w:ascii="New Century Schlbk" w:hAnsi="New Century Schlbk"/>
                <w:sz w:val="16"/>
              </w:rPr>
            </w:pPr>
          </w:p>
        </w:tc>
      </w:tr>
      <w:tr w:rsidR="00DC54EA" w:rsidRPr="009A13E9" w14:paraId="7AF42491" w14:textId="77777777">
        <w:tc>
          <w:tcPr>
            <w:tcW w:w="10440" w:type="dxa"/>
            <w:tcBorders>
              <w:left w:val="single" w:sz="12" w:space="0" w:color="auto"/>
              <w:right w:val="single" w:sz="12" w:space="0" w:color="auto"/>
            </w:tcBorders>
          </w:tcPr>
          <w:p w14:paraId="42F2E2D0" w14:textId="77777777" w:rsidR="00DC54EA" w:rsidRPr="009A13E9" w:rsidRDefault="00DC54EA">
            <w:pPr>
              <w:ind w:left="360" w:right="200"/>
              <w:jc w:val="center"/>
              <w:rPr>
                <w:rFonts w:ascii="New Century Schlbk" w:hAnsi="New Century Schlbk"/>
                <w:sz w:val="20"/>
              </w:rPr>
            </w:pPr>
            <w:r w:rsidRPr="007667C7">
              <w:rPr>
                <w:rFonts w:ascii="Arial" w:hAnsi="Arial"/>
                <w:b/>
                <w:sz w:val="20"/>
              </w:rPr>
              <w:t>HISTORICAL AND STATUTORY NOTES</w:t>
            </w:r>
          </w:p>
        </w:tc>
      </w:tr>
      <w:tr w:rsidR="00DC54EA" w:rsidRPr="009A13E9" w14:paraId="4483CA47" w14:textId="77777777">
        <w:tc>
          <w:tcPr>
            <w:tcW w:w="10440" w:type="dxa"/>
            <w:tcBorders>
              <w:left w:val="single" w:sz="12" w:space="0" w:color="auto"/>
              <w:right w:val="single" w:sz="12" w:space="0" w:color="auto"/>
            </w:tcBorders>
          </w:tcPr>
          <w:p w14:paraId="032BDB2C" w14:textId="77777777" w:rsidR="00DC54EA" w:rsidRPr="009A13E9" w:rsidRDefault="00DC54EA">
            <w:pPr>
              <w:ind w:left="360" w:right="200"/>
              <w:jc w:val="both"/>
              <w:rPr>
                <w:rFonts w:ascii="New Century Schlbk" w:hAnsi="New Century Schlbk"/>
                <w:sz w:val="16"/>
              </w:rPr>
            </w:pPr>
          </w:p>
        </w:tc>
      </w:tr>
      <w:tr w:rsidR="00DC54EA" w:rsidRPr="009A13E9" w14:paraId="3A44F025" w14:textId="77777777">
        <w:tc>
          <w:tcPr>
            <w:tcW w:w="10440" w:type="dxa"/>
            <w:tcBorders>
              <w:left w:val="single" w:sz="12" w:space="0" w:color="auto"/>
              <w:right w:val="single" w:sz="12" w:space="0" w:color="auto"/>
            </w:tcBorders>
          </w:tcPr>
          <w:p w14:paraId="0EF3CE7B"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Effective Date of 1975 Amendment.  Section 4 of </w:t>
            </w:r>
            <w:proofErr w:type="spellStart"/>
            <w:r w:rsidRPr="007667C7">
              <w:rPr>
                <w:rFonts w:ascii="Arial" w:hAnsi="Arial"/>
                <w:sz w:val="20"/>
              </w:rPr>
              <w:t>Pub.L</w:t>
            </w:r>
            <w:proofErr w:type="spellEnd"/>
            <w:r w:rsidRPr="007667C7">
              <w:rPr>
                <w:rFonts w:ascii="Arial" w:hAnsi="Arial"/>
                <w:sz w:val="20"/>
              </w:rPr>
              <w:t>. 94-145 provided that:  “The amendments made by sections 2 and 3 of this Act [to this section and section 45(a) of this title] shall take effect upon the ex</w:t>
            </w:r>
            <w:r w:rsidRPr="007667C7">
              <w:rPr>
                <w:rFonts w:ascii="Arial" w:hAnsi="Arial"/>
                <w:sz w:val="20"/>
              </w:rPr>
              <w:softHyphen/>
              <w:t>piration of the ninety-day period which begins on the date of enactment of this Act [Dec. 12, 1975].”</w:t>
            </w:r>
          </w:p>
        </w:tc>
      </w:tr>
      <w:tr w:rsidR="00DC54EA" w:rsidRPr="009A13E9" w14:paraId="5D5A67C3" w14:textId="77777777">
        <w:tc>
          <w:tcPr>
            <w:tcW w:w="10440" w:type="dxa"/>
            <w:tcBorders>
              <w:left w:val="single" w:sz="12" w:space="0" w:color="auto"/>
              <w:right w:val="single" w:sz="12" w:space="0" w:color="auto"/>
            </w:tcBorders>
          </w:tcPr>
          <w:p w14:paraId="01BD7C69" w14:textId="77777777" w:rsidR="00DC54EA" w:rsidRPr="009A13E9" w:rsidRDefault="00DC54EA">
            <w:pPr>
              <w:ind w:left="360" w:right="200"/>
              <w:jc w:val="both"/>
              <w:rPr>
                <w:rFonts w:ascii="New Century Schlbk" w:hAnsi="New Century Schlbk"/>
                <w:sz w:val="16"/>
              </w:rPr>
            </w:pPr>
          </w:p>
        </w:tc>
      </w:tr>
      <w:tr w:rsidR="00DC54EA" w:rsidRPr="009A13E9" w14:paraId="1EE179B1" w14:textId="77777777">
        <w:tc>
          <w:tcPr>
            <w:tcW w:w="10440" w:type="dxa"/>
            <w:tcBorders>
              <w:left w:val="single" w:sz="12" w:space="0" w:color="auto"/>
              <w:right w:val="single" w:sz="12" w:space="0" w:color="auto"/>
            </w:tcBorders>
          </w:tcPr>
          <w:p w14:paraId="704B96B4"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1984 Amendment.  </w:t>
            </w:r>
            <w:proofErr w:type="spellStart"/>
            <w:r w:rsidRPr="007667C7">
              <w:rPr>
                <w:rFonts w:ascii="Arial" w:hAnsi="Arial"/>
                <w:sz w:val="20"/>
              </w:rPr>
              <w:t>Pub.L</w:t>
            </w:r>
            <w:proofErr w:type="spellEnd"/>
            <w:r w:rsidRPr="007667C7">
              <w:rPr>
                <w:rFonts w:ascii="Arial" w:hAnsi="Arial"/>
                <w:sz w:val="20"/>
              </w:rPr>
              <w:t>. 98-544, § 1, Oct. 24, 1984, 98 Stat. 2750, provided:  “That this Act [enacting sections 34 to 36 of this title and provisions set out as a note under section 34 of this title] may be cited as the ‘Local Government Antitrust Act of 1984’.”</w:t>
            </w:r>
          </w:p>
        </w:tc>
      </w:tr>
      <w:tr w:rsidR="00DC54EA" w:rsidRPr="009A13E9" w14:paraId="4C452007" w14:textId="77777777">
        <w:tc>
          <w:tcPr>
            <w:tcW w:w="10440" w:type="dxa"/>
            <w:tcBorders>
              <w:left w:val="single" w:sz="12" w:space="0" w:color="auto"/>
              <w:right w:val="single" w:sz="12" w:space="0" w:color="auto"/>
            </w:tcBorders>
          </w:tcPr>
          <w:p w14:paraId="4B065058" w14:textId="77777777" w:rsidR="00DC54EA" w:rsidRPr="009A13E9" w:rsidRDefault="00DC54EA">
            <w:pPr>
              <w:ind w:left="360" w:right="200"/>
              <w:jc w:val="both"/>
              <w:rPr>
                <w:rFonts w:ascii="New Century Schlbk" w:hAnsi="New Century Schlbk"/>
                <w:sz w:val="16"/>
              </w:rPr>
            </w:pPr>
          </w:p>
        </w:tc>
      </w:tr>
      <w:tr w:rsidR="00DC54EA" w:rsidRPr="009A13E9" w14:paraId="4968F853" w14:textId="77777777">
        <w:tc>
          <w:tcPr>
            <w:tcW w:w="10440" w:type="dxa"/>
            <w:tcBorders>
              <w:left w:val="single" w:sz="12" w:space="0" w:color="auto"/>
              <w:right w:val="single" w:sz="12" w:space="0" w:color="auto"/>
            </w:tcBorders>
          </w:tcPr>
          <w:p w14:paraId="12EA8124"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1982 Amendment.  </w:t>
            </w:r>
            <w:proofErr w:type="spellStart"/>
            <w:r w:rsidRPr="007667C7">
              <w:rPr>
                <w:rFonts w:ascii="Arial" w:hAnsi="Arial"/>
                <w:sz w:val="20"/>
              </w:rPr>
              <w:t>Pub.L</w:t>
            </w:r>
            <w:proofErr w:type="spellEnd"/>
            <w:r w:rsidRPr="007667C7">
              <w:rPr>
                <w:rFonts w:ascii="Arial" w:hAnsi="Arial"/>
                <w:sz w:val="20"/>
              </w:rPr>
              <w:t>. 97-290, Title IV, § 401, Oct. 8, 1982, 96 Stat. 1246, provided that “This title [enacting section 6a of this title and section 45(a) (3) of this title] may be cited as the ‘Foreign Trade Antitrust Improvements Act of 1982’.”</w:t>
            </w:r>
          </w:p>
        </w:tc>
      </w:tr>
      <w:tr w:rsidR="00DC54EA" w:rsidRPr="009A13E9" w14:paraId="61A67D52" w14:textId="77777777">
        <w:tc>
          <w:tcPr>
            <w:tcW w:w="10440" w:type="dxa"/>
            <w:tcBorders>
              <w:left w:val="single" w:sz="12" w:space="0" w:color="auto"/>
              <w:right w:val="single" w:sz="12" w:space="0" w:color="auto"/>
            </w:tcBorders>
          </w:tcPr>
          <w:p w14:paraId="5B0B7579" w14:textId="77777777" w:rsidR="00DC54EA" w:rsidRPr="009A13E9" w:rsidRDefault="00DC54EA">
            <w:pPr>
              <w:ind w:left="360" w:right="200"/>
              <w:jc w:val="both"/>
              <w:rPr>
                <w:rFonts w:ascii="New Century Schlbk" w:hAnsi="New Century Schlbk"/>
                <w:sz w:val="16"/>
              </w:rPr>
            </w:pPr>
          </w:p>
        </w:tc>
      </w:tr>
      <w:tr w:rsidR="00DC54EA" w:rsidRPr="009A13E9" w14:paraId="07D00A49" w14:textId="77777777">
        <w:tc>
          <w:tcPr>
            <w:tcW w:w="10440" w:type="dxa"/>
            <w:tcBorders>
              <w:left w:val="single" w:sz="12" w:space="0" w:color="auto"/>
              <w:right w:val="single" w:sz="12" w:space="0" w:color="auto"/>
            </w:tcBorders>
          </w:tcPr>
          <w:p w14:paraId="4B228EE0"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1980 Amendment.  </w:t>
            </w:r>
            <w:proofErr w:type="spellStart"/>
            <w:r w:rsidRPr="007667C7">
              <w:rPr>
                <w:rFonts w:ascii="Arial" w:hAnsi="Arial"/>
                <w:sz w:val="20"/>
              </w:rPr>
              <w:t>Pub.L</w:t>
            </w:r>
            <w:proofErr w:type="spellEnd"/>
            <w:r w:rsidRPr="007667C7">
              <w:rPr>
                <w:rFonts w:ascii="Arial" w:hAnsi="Arial"/>
                <w:sz w:val="20"/>
              </w:rPr>
              <w:t>. 96-493, § 1, Dec. 2, 1980, 94 Stat. 2568, provided:  “That this Act [enacting section 26a of this title] may be cited as the ‘Gasohol Competition Act of 1980’.”</w:t>
            </w:r>
          </w:p>
        </w:tc>
      </w:tr>
      <w:tr w:rsidR="00DC54EA" w:rsidRPr="009A13E9" w14:paraId="235C28D4" w14:textId="77777777">
        <w:tc>
          <w:tcPr>
            <w:tcW w:w="10440" w:type="dxa"/>
            <w:tcBorders>
              <w:left w:val="single" w:sz="12" w:space="0" w:color="auto"/>
              <w:right w:val="single" w:sz="12" w:space="0" w:color="auto"/>
            </w:tcBorders>
          </w:tcPr>
          <w:p w14:paraId="53273D01" w14:textId="77777777" w:rsidR="00DC54EA" w:rsidRPr="009A13E9" w:rsidRDefault="00DC54EA">
            <w:pPr>
              <w:ind w:left="360" w:right="200"/>
              <w:jc w:val="both"/>
              <w:rPr>
                <w:rFonts w:ascii="New Century Schlbk" w:hAnsi="New Century Schlbk"/>
                <w:sz w:val="16"/>
              </w:rPr>
            </w:pPr>
          </w:p>
        </w:tc>
      </w:tr>
      <w:tr w:rsidR="00DC54EA" w:rsidRPr="009A13E9" w14:paraId="3E083940" w14:textId="77777777">
        <w:tc>
          <w:tcPr>
            <w:tcW w:w="10440" w:type="dxa"/>
            <w:tcBorders>
              <w:left w:val="single" w:sz="12" w:space="0" w:color="auto"/>
              <w:right w:val="single" w:sz="12" w:space="0" w:color="auto"/>
            </w:tcBorders>
          </w:tcPr>
          <w:p w14:paraId="21972236"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of 1975 Amendment.  Section 1 of </w:t>
            </w:r>
            <w:proofErr w:type="spellStart"/>
            <w:r w:rsidRPr="007667C7">
              <w:rPr>
                <w:rFonts w:ascii="Arial" w:hAnsi="Arial"/>
                <w:sz w:val="20"/>
              </w:rPr>
              <w:t>Pub.L</w:t>
            </w:r>
            <w:proofErr w:type="spellEnd"/>
            <w:r w:rsidRPr="007667C7">
              <w:rPr>
                <w:rFonts w:ascii="Arial" w:hAnsi="Arial"/>
                <w:sz w:val="20"/>
              </w:rPr>
              <w:t>. 94-145 provided:  “That this Act [which amended this section and section 45(a) of this title and enacted provisions set out as a note under this section] may be cited as the ‘Consumer Goods Pricing Act of 1975’.”</w:t>
            </w:r>
          </w:p>
        </w:tc>
      </w:tr>
      <w:tr w:rsidR="00DC54EA" w:rsidRPr="009A13E9" w14:paraId="1281A94F" w14:textId="77777777">
        <w:tc>
          <w:tcPr>
            <w:tcW w:w="10440" w:type="dxa"/>
            <w:tcBorders>
              <w:left w:val="single" w:sz="12" w:space="0" w:color="auto"/>
              <w:right w:val="single" w:sz="12" w:space="0" w:color="auto"/>
            </w:tcBorders>
          </w:tcPr>
          <w:p w14:paraId="5C89189A" w14:textId="77777777" w:rsidR="00DC54EA" w:rsidRPr="009A13E9" w:rsidRDefault="00DC54EA">
            <w:pPr>
              <w:ind w:left="360" w:right="200"/>
              <w:jc w:val="both"/>
              <w:rPr>
                <w:rFonts w:ascii="New Century Schlbk" w:hAnsi="New Century Schlbk"/>
                <w:sz w:val="16"/>
              </w:rPr>
            </w:pPr>
          </w:p>
        </w:tc>
      </w:tr>
      <w:tr w:rsidR="00DC54EA" w:rsidRPr="009A13E9" w14:paraId="71E98D8C" w14:textId="77777777">
        <w:tc>
          <w:tcPr>
            <w:tcW w:w="10440" w:type="dxa"/>
            <w:tcBorders>
              <w:left w:val="single" w:sz="12" w:space="0" w:color="auto"/>
              <w:right w:val="single" w:sz="12" w:space="0" w:color="auto"/>
            </w:tcBorders>
          </w:tcPr>
          <w:p w14:paraId="1348FB9E" w14:textId="77777777" w:rsidR="00DC54EA" w:rsidRPr="009A13E9" w:rsidRDefault="00DC54EA">
            <w:pPr>
              <w:pStyle w:val="Boxtext"/>
              <w:spacing w:line="240" w:lineRule="auto"/>
            </w:pPr>
            <w:r w:rsidRPr="007667C7">
              <w:rPr>
                <w:rFonts w:ascii="Arial" w:hAnsi="Arial"/>
              </w:rPr>
              <w:t xml:space="preserve">Short Title of 1974 Amendment.  Section 1 of </w:t>
            </w:r>
            <w:proofErr w:type="spellStart"/>
            <w:r w:rsidRPr="007667C7">
              <w:rPr>
                <w:rFonts w:ascii="Arial" w:hAnsi="Arial"/>
              </w:rPr>
              <w:t>Pub.L</w:t>
            </w:r>
            <w:proofErr w:type="spellEnd"/>
            <w:r w:rsidRPr="007667C7">
              <w:rPr>
                <w:rFonts w:ascii="Arial" w:hAnsi="Arial"/>
              </w:rPr>
              <w:t>. 93-528 provided:  “That this Act [amending this section, and sections 2, 3, 16, 28, and 29 of this title, and section 401 of Title 47, Telegraphs, Telephones, and Radiotelegraphs, and enacting provisions set out as notes under sections 1 and 29 of this title] may be cited as the ‘Antitrust Procedures and Penalties Act’.”</w:t>
            </w:r>
          </w:p>
        </w:tc>
      </w:tr>
      <w:tr w:rsidR="00DC54EA" w:rsidRPr="009A13E9" w14:paraId="13081137" w14:textId="77777777">
        <w:tc>
          <w:tcPr>
            <w:tcW w:w="10440" w:type="dxa"/>
            <w:tcBorders>
              <w:left w:val="single" w:sz="12" w:space="0" w:color="auto"/>
              <w:right w:val="single" w:sz="12" w:space="0" w:color="auto"/>
            </w:tcBorders>
          </w:tcPr>
          <w:p w14:paraId="27E83A0F" w14:textId="77777777" w:rsidR="00DC54EA" w:rsidRPr="009A13E9" w:rsidRDefault="00DC54EA">
            <w:pPr>
              <w:ind w:left="360" w:right="200"/>
              <w:jc w:val="both"/>
              <w:rPr>
                <w:rFonts w:ascii="New Century Schlbk" w:hAnsi="New Century Schlbk"/>
                <w:sz w:val="20"/>
              </w:rPr>
            </w:pPr>
          </w:p>
        </w:tc>
      </w:tr>
      <w:tr w:rsidR="00DC54EA" w:rsidRPr="009A13E9" w14:paraId="25B23A07" w14:textId="77777777">
        <w:tc>
          <w:tcPr>
            <w:tcW w:w="10440" w:type="dxa"/>
            <w:tcBorders>
              <w:left w:val="single" w:sz="12" w:space="0" w:color="auto"/>
              <w:right w:val="single" w:sz="12" w:space="0" w:color="auto"/>
            </w:tcBorders>
          </w:tcPr>
          <w:p w14:paraId="37893490"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Short Title.  </w:t>
            </w:r>
            <w:proofErr w:type="spellStart"/>
            <w:r w:rsidRPr="007667C7">
              <w:rPr>
                <w:rFonts w:ascii="Arial" w:hAnsi="Arial"/>
                <w:sz w:val="20"/>
              </w:rPr>
              <w:t>Pub.L</w:t>
            </w:r>
            <w:proofErr w:type="spellEnd"/>
            <w:r w:rsidRPr="007667C7">
              <w:rPr>
                <w:rFonts w:ascii="Arial" w:hAnsi="Arial"/>
                <w:sz w:val="20"/>
              </w:rPr>
              <w:t>. 94-435, Title III, § 305(a), Sept. 30, 1976, 90 Stat. 1397, inserted immediately af</w:t>
            </w:r>
            <w:r w:rsidRPr="007667C7">
              <w:rPr>
                <w:rFonts w:ascii="Arial" w:hAnsi="Arial"/>
                <w:sz w:val="20"/>
              </w:rPr>
              <w:softHyphen/>
              <w:t>ter the enacting clause of Act July 2, 1890, c. 647, the following:  “That this Act [sections 1 to 7 of this title] may be cited as the ‘Sherman Act’.”</w:t>
            </w:r>
          </w:p>
        </w:tc>
      </w:tr>
      <w:tr w:rsidR="00DC54EA" w:rsidRPr="009A13E9" w14:paraId="6F05A7B3" w14:textId="77777777">
        <w:tc>
          <w:tcPr>
            <w:tcW w:w="10440" w:type="dxa"/>
            <w:tcBorders>
              <w:left w:val="single" w:sz="12" w:space="0" w:color="auto"/>
              <w:right w:val="single" w:sz="12" w:space="0" w:color="auto"/>
            </w:tcBorders>
          </w:tcPr>
          <w:p w14:paraId="4168DD7C" w14:textId="77777777" w:rsidR="00DC54EA" w:rsidRPr="009A13E9" w:rsidRDefault="00DC54EA">
            <w:pPr>
              <w:ind w:left="360" w:right="200"/>
              <w:jc w:val="both"/>
              <w:rPr>
                <w:rFonts w:ascii="New Century Schlbk" w:hAnsi="New Century Schlbk"/>
                <w:sz w:val="20"/>
              </w:rPr>
            </w:pPr>
          </w:p>
        </w:tc>
      </w:tr>
      <w:tr w:rsidR="00DC54EA" w:rsidRPr="009A13E9" w14:paraId="50082CDF" w14:textId="77777777">
        <w:tc>
          <w:tcPr>
            <w:tcW w:w="10440" w:type="dxa"/>
            <w:tcBorders>
              <w:left w:val="single" w:sz="12" w:space="0" w:color="auto"/>
              <w:right w:val="single" w:sz="12" w:space="0" w:color="auto"/>
            </w:tcBorders>
          </w:tcPr>
          <w:p w14:paraId="46FF6D12"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Legislative History.  For legislative history and purpose of Act July 7, 1955, see 1955 U.S. Code Cong. and </w:t>
            </w:r>
            <w:proofErr w:type="spellStart"/>
            <w:r w:rsidRPr="007667C7">
              <w:rPr>
                <w:rFonts w:ascii="Arial" w:hAnsi="Arial"/>
                <w:sz w:val="20"/>
              </w:rPr>
              <w:t>Adm.News</w:t>
            </w:r>
            <w:proofErr w:type="spellEnd"/>
            <w:r w:rsidRPr="007667C7">
              <w:rPr>
                <w:rFonts w:ascii="Arial" w:hAnsi="Arial"/>
                <w:sz w:val="20"/>
              </w:rPr>
              <w:t>, p. 2322.</w:t>
            </w:r>
          </w:p>
        </w:tc>
      </w:tr>
      <w:tr w:rsidR="00DC54EA" w:rsidRPr="009A13E9" w14:paraId="0BB2E01B" w14:textId="77777777">
        <w:tc>
          <w:tcPr>
            <w:tcW w:w="10440" w:type="dxa"/>
            <w:tcBorders>
              <w:left w:val="single" w:sz="12" w:space="0" w:color="auto"/>
              <w:right w:val="single" w:sz="12" w:space="0" w:color="auto"/>
            </w:tcBorders>
          </w:tcPr>
          <w:p w14:paraId="64AE3EFA" w14:textId="77777777" w:rsidR="00DC54EA" w:rsidRPr="009A13E9" w:rsidRDefault="00DC54EA">
            <w:pPr>
              <w:ind w:left="360" w:right="200"/>
              <w:jc w:val="both"/>
              <w:rPr>
                <w:rFonts w:ascii="New Century Schlbk" w:hAnsi="New Century Schlbk"/>
                <w:sz w:val="20"/>
              </w:rPr>
            </w:pPr>
          </w:p>
        </w:tc>
      </w:tr>
      <w:tr w:rsidR="00DC54EA" w:rsidRPr="009A13E9" w14:paraId="4978FACA" w14:textId="77777777">
        <w:tc>
          <w:tcPr>
            <w:tcW w:w="10440" w:type="dxa"/>
            <w:tcBorders>
              <w:left w:val="single" w:sz="12" w:space="0" w:color="auto"/>
              <w:right w:val="single" w:sz="12" w:space="0" w:color="auto"/>
            </w:tcBorders>
          </w:tcPr>
          <w:p w14:paraId="684C12C5"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For legislative history and purpose of </w:t>
            </w:r>
            <w:proofErr w:type="spellStart"/>
            <w:r w:rsidRPr="007667C7">
              <w:rPr>
                <w:rFonts w:ascii="Arial" w:hAnsi="Arial"/>
                <w:sz w:val="20"/>
              </w:rPr>
              <w:t>Pub.L</w:t>
            </w:r>
            <w:proofErr w:type="spellEnd"/>
            <w:r w:rsidRPr="007667C7">
              <w:rPr>
                <w:rFonts w:ascii="Arial" w:hAnsi="Arial"/>
                <w:sz w:val="20"/>
              </w:rPr>
              <w:t>. 93-</w:t>
            </w:r>
            <w:proofErr w:type="gramStart"/>
            <w:r w:rsidRPr="007667C7">
              <w:rPr>
                <w:rFonts w:ascii="Arial" w:hAnsi="Arial"/>
                <w:sz w:val="20"/>
              </w:rPr>
              <w:t>528,</w:t>
            </w:r>
            <w:proofErr w:type="gramEnd"/>
            <w:r w:rsidRPr="007667C7">
              <w:rPr>
                <w:rFonts w:ascii="Arial" w:hAnsi="Arial"/>
                <w:sz w:val="20"/>
              </w:rPr>
              <w:t xml:space="preserve"> see 1974 U.S. Code Cong. and Adm. News, p. 6535.  See, also, </w:t>
            </w:r>
            <w:proofErr w:type="spellStart"/>
            <w:r w:rsidRPr="007667C7">
              <w:rPr>
                <w:rFonts w:ascii="Arial" w:hAnsi="Arial"/>
                <w:sz w:val="20"/>
              </w:rPr>
              <w:t>Pub.L</w:t>
            </w:r>
            <w:proofErr w:type="spellEnd"/>
            <w:r w:rsidRPr="007667C7">
              <w:rPr>
                <w:rFonts w:ascii="Arial" w:hAnsi="Arial"/>
                <w:sz w:val="20"/>
              </w:rPr>
              <w:t>. 94-145, 1975 U.S. Code Cong. and Adm. News, p. 1569.</w:t>
            </w:r>
          </w:p>
        </w:tc>
      </w:tr>
      <w:tr w:rsidR="00DC54EA" w:rsidRPr="009A13E9" w14:paraId="667D8E29" w14:textId="77777777">
        <w:tc>
          <w:tcPr>
            <w:tcW w:w="10440" w:type="dxa"/>
            <w:tcBorders>
              <w:left w:val="single" w:sz="12" w:space="0" w:color="auto"/>
              <w:right w:val="single" w:sz="12" w:space="0" w:color="auto"/>
            </w:tcBorders>
          </w:tcPr>
          <w:p w14:paraId="4139EE73" w14:textId="77777777" w:rsidR="00DC54EA" w:rsidRPr="009A13E9" w:rsidRDefault="00DC54EA">
            <w:pPr>
              <w:ind w:left="360" w:right="200"/>
              <w:jc w:val="both"/>
              <w:rPr>
                <w:rFonts w:ascii="New Century Schlbk" w:hAnsi="New Century Schlbk"/>
                <w:sz w:val="16"/>
              </w:rPr>
            </w:pPr>
          </w:p>
        </w:tc>
      </w:tr>
      <w:tr w:rsidR="00DC54EA" w:rsidRPr="007667C7" w14:paraId="64B6E236" w14:textId="77777777">
        <w:tc>
          <w:tcPr>
            <w:tcW w:w="10440" w:type="dxa"/>
            <w:tcBorders>
              <w:left w:val="single" w:sz="12" w:space="0" w:color="auto"/>
              <w:right w:val="single" w:sz="12" w:space="0" w:color="auto"/>
            </w:tcBorders>
          </w:tcPr>
          <w:p w14:paraId="79C3B9AC" w14:textId="77777777" w:rsidR="00DC54EA" w:rsidRPr="009A13E9" w:rsidRDefault="00DC54EA">
            <w:pPr>
              <w:ind w:left="360" w:right="200"/>
              <w:jc w:val="both"/>
              <w:rPr>
                <w:rFonts w:ascii="New Century Schlbk" w:hAnsi="New Century Schlbk"/>
                <w:sz w:val="16"/>
              </w:rPr>
            </w:pPr>
          </w:p>
        </w:tc>
      </w:tr>
      <w:tr w:rsidR="00DC54EA" w:rsidRPr="009A13E9" w14:paraId="441F571B" w14:textId="77777777">
        <w:tc>
          <w:tcPr>
            <w:tcW w:w="10440" w:type="dxa"/>
            <w:tcBorders>
              <w:left w:val="single" w:sz="12" w:space="0" w:color="auto"/>
              <w:right w:val="single" w:sz="12" w:space="0" w:color="auto"/>
            </w:tcBorders>
          </w:tcPr>
          <w:p w14:paraId="57110CA7" w14:textId="77777777" w:rsidR="00DC54EA" w:rsidRPr="009A13E9" w:rsidRDefault="00DC54EA">
            <w:pPr>
              <w:ind w:left="360" w:right="200"/>
              <w:jc w:val="center"/>
              <w:rPr>
                <w:rFonts w:ascii="New Century Schlbk" w:hAnsi="New Century Schlbk"/>
                <w:sz w:val="20"/>
              </w:rPr>
            </w:pPr>
            <w:r w:rsidRPr="007667C7">
              <w:rPr>
                <w:rFonts w:ascii="Arial" w:hAnsi="Arial"/>
                <w:b/>
                <w:sz w:val="20"/>
              </w:rPr>
              <w:t>REFERENCES</w:t>
            </w:r>
          </w:p>
        </w:tc>
      </w:tr>
      <w:tr w:rsidR="00DC54EA" w:rsidRPr="007667C7" w14:paraId="7CA9E020" w14:textId="77777777">
        <w:tc>
          <w:tcPr>
            <w:tcW w:w="10440" w:type="dxa"/>
            <w:tcBorders>
              <w:left w:val="single" w:sz="12" w:space="0" w:color="auto"/>
              <w:right w:val="single" w:sz="12" w:space="0" w:color="auto"/>
            </w:tcBorders>
          </w:tcPr>
          <w:p w14:paraId="015D8AFE" w14:textId="77777777" w:rsidR="00DC54EA" w:rsidRPr="009A13E9" w:rsidRDefault="00DC54EA">
            <w:pPr>
              <w:ind w:left="360" w:right="200"/>
              <w:jc w:val="center"/>
              <w:rPr>
                <w:rFonts w:ascii="New Century Schlbk" w:hAnsi="New Century Schlbk"/>
                <w:sz w:val="16"/>
              </w:rPr>
            </w:pPr>
          </w:p>
        </w:tc>
      </w:tr>
      <w:tr w:rsidR="00DC54EA" w:rsidRPr="009A13E9" w14:paraId="0177B671" w14:textId="77777777">
        <w:tc>
          <w:tcPr>
            <w:tcW w:w="10440" w:type="dxa"/>
            <w:tcBorders>
              <w:left w:val="single" w:sz="12" w:space="0" w:color="auto"/>
              <w:right w:val="single" w:sz="12" w:space="0" w:color="auto"/>
            </w:tcBorders>
          </w:tcPr>
          <w:p w14:paraId="1C083220"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CROSS REFERENCES</w:t>
            </w:r>
          </w:p>
        </w:tc>
      </w:tr>
      <w:tr w:rsidR="00DC54EA" w:rsidRPr="009A13E9" w14:paraId="2DFC24D4" w14:textId="77777777">
        <w:tc>
          <w:tcPr>
            <w:tcW w:w="10440" w:type="dxa"/>
            <w:tcBorders>
              <w:left w:val="single" w:sz="12" w:space="0" w:color="auto"/>
              <w:right w:val="single" w:sz="12" w:space="0" w:color="auto"/>
            </w:tcBorders>
          </w:tcPr>
          <w:p w14:paraId="689EC518" w14:textId="77777777" w:rsidR="00DC54EA" w:rsidRPr="009A13E9" w:rsidRDefault="00DC54EA">
            <w:pPr>
              <w:ind w:left="360" w:right="200"/>
              <w:jc w:val="both"/>
              <w:rPr>
                <w:rFonts w:ascii="New Century Schlbk" w:hAnsi="New Century Schlbk"/>
                <w:sz w:val="16"/>
              </w:rPr>
            </w:pPr>
          </w:p>
        </w:tc>
      </w:tr>
      <w:tr w:rsidR="00DC54EA" w:rsidRPr="009A13E9" w14:paraId="35DC5ED2" w14:textId="77777777">
        <w:tc>
          <w:tcPr>
            <w:tcW w:w="10440" w:type="dxa"/>
            <w:tcBorders>
              <w:left w:val="single" w:sz="12" w:space="0" w:color="auto"/>
              <w:right w:val="single" w:sz="12" w:space="0" w:color="auto"/>
            </w:tcBorders>
          </w:tcPr>
          <w:p w14:paraId="3D1DA8AA" w14:textId="77777777" w:rsidR="00DC54EA" w:rsidRPr="009A13E9" w:rsidRDefault="00DC54EA">
            <w:pPr>
              <w:ind w:left="360" w:right="200"/>
              <w:jc w:val="both"/>
              <w:rPr>
                <w:rFonts w:ascii="New Century Schlbk" w:hAnsi="New Century Schlbk"/>
                <w:sz w:val="20"/>
              </w:rPr>
            </w:pPr>
            <w:r w:rsidRPr="007667C7">
              <w:rPr>
                <w:rFonts w:ascii="Arial" w:hAnsi="Arial"/>
                <w:sz w:val="20"/>
              </w:rPr>
              <w:t>Antitrust laws inapplicable to labor organizations, see § 17 of this title.</w:t>
            </w:r>
          </w:p>
        </w:tc>
      </w:tr>
      <w:tr w:rsidR="00DC54EA" w:rsidRPr="004A28D8" w14:paraId="2973364E" w14:textId="77777777">
        <w:tc>
          <w:tcPr>
            <w:tcW w:w="10440" w:type="dxa"/>
            <w:tcBorders>
              <w:left w:val="single" w:sz="12" w:space="0" w:color="auto"/>
              <w:right w:val="single" w:sz="12" w:space="0" w:color="auto"/>
            </w:tcBorders>
          </w:tcPr>
          <w:p w14:paraId="622E68B1" w14:textId="77777777" w:rsidR="00DC54EA" w:rsidRPr="004A28D8" w:rsidRDefault="00DC54EA">
            <w:pPr>
              <w:ind w:left="360" w:right="200"/>
              <w:jc w:val="both"/>
              <w:rPr>
                <w:rFonts w:ascii="New Century Schlbk" w:hAnsi="New Century Schlbk"/>
                <w:sz w:val="16"/>
                <w:szCs w:val="16"/>
              </w:rPr>
            </w:pPr>
          </w:p>
        </w:tc>
      </w:tr>
      <w:tr w:rsidR="00DC54EA" w:rsidRPr="009A13E9" w14:paraId="76B9D279" w14:textId="77777777">
        <w:tc>
          <w:tcPr>
            <w:tcW w:w="10440" w:type="dxa"/>
            <w:tcBorders>
              <w:left w:val="single" w:sz="12" w:space="0" w:color="auto"/>
              <w:right w:val="single" w:sz="12" w:space="0" w:color="auto"/>
            </w:tcBorders>
          </w:tcPr>
          <w:p w14:paraId="43F7064F" w14:textId="77777777" w:rsidR="00DC54EA" w:rsidRPr="009A13E9" w:rsidRDefault="00DC54EA">
            <w:pPr>
              <w:ind w:left="360" w:right="200"/>
              <w:jc w:val="both"/>
              <w:rPr>
                <w:rFonts w:ascii="New Century Schlbk" w:hAnsi="New Century Schlbk"/>
                <w:sz w:val="20"/>
              </w:rPr>
            </w:pPr>
            <w:r w:rsidRPr="007667C7">
              <w:rPr>
                <w:rFonts w:ascii="Arial" w:hAnsi="Arial"/>
                <w:sz w:val="20"/>
              </w:rPr>
              <w:t>Carriers relieved from operation of antitrust laws, see § 5(11) of Title 49, Transportation.</w:t>
            </w:r>
          </w:p>
        </w:tc>
      </w:tr>
      <w:tr w:rsidR="00DC54EA" w:rsidRPr="004A28D8" w14:paraId="27BD90E8" w14:textId="77777777">
        <w:tc>
          <w:tcPr>
            <w:tcW w:w="10440" w:type="dxa"/>
            <w:tcBorders>
              <w:left w:val="single" w:sz="12" w:space="0" w:color="auto"/>
              <w:right w:val="single" w:sz="12" w:space="0" w:color="auto"/>
            </w:tcBorders>
          </w:tcPr>
          <w:p w14:paraId="51CC5AA0" w14:textId="77777777" w:rsidR="00DC54EA" w:rsidRPr="004A28D8" w:rsidRDefault="00DC54EA">
            <w:pPr>
              <w:ind w:left="360" w:right="200"/>
              <w:jc w:val="both"/>
              <w:rPr>
                <w:rFonts w:ascii="New Century Schlbk" w:hAnsi="New Century Schlbk"/>
                <w:sz w:val="16"/>
                <w:szCs w:val="16"/>
              </w:rPr>
            </w:pPr>
          </w:p>
        </w:tc>
      </w:tr>
      <w:tr w:rsidR="00DC54EA" w:rsidRPr="009A13E9" w14:paraId="1FFB7AD9" w14:textId="77777777">
        <w:tc>
          <w:tcPr>
            <w:tcW w:w="10440" w:type="dxa"/>
            <w:tcBorders>
              <w:left w:val="single" w:sz="12" w:space="0" w:color="auto"/>
              <w:right w:val="single" w:sz="12" w:space="0" w:color="auto"/>
            </w:tcBorders>
          </w:tcPr>
          <w:p w14:paraId="2E6CD386"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Combinations in restraint of import </w:t>
            </w:r>
            <w:proofErr w:type="gramStart"/>
            <w:r w:rsidRPr="007667C7">
              <w:rPr>
                <w:rFonts w:ascii="Arial" w:hAnsi="Arial"/>
                <w:sz w:val="20"/>
              </w:rPr>
              <w:t>trade,</w:t>
            </w:r>
            <w:proofErr w:type="gramEnd"/>
            <w:r w:rsidRPr="007667C7">
              <w:rPr>
                <w:rFonts w:ascii="Arial" w:hAnsi="Arial"/>
                <w:sz w:val="20"/>
              </w:rPr>
              <w:t xml:space="preserve"> see § 8 of this title.</w:t>
            </w:r>
          </w:p>
        </w:tc>
      </w:tr>
      <w:tr w:rsidR="00DC54EA" w:rsidRPr="004A28D8" w14:paraId="7D0FE238" w14:textId="77777777">
        <w:tc>
          <w:tcPr>
            <w:tcW w:w="10440" w:type="dxa"/>
            <w:tcBorders>
              <w:left w:val="single" w:sz="12" w:space="0" w:color="auto"/>
              <w:right w:val="single" w:sz="12" w:space="0" w:color="auto"/>
            </w:tcBorders>
          </w:tcPr>
          <w:p w14:paraId="0DA48F08" w14:textId="77777777" w:rsidR="00DC54EA" w:rsidRPr="004A28D8" w:rsidRDefault="00DC54EA">
            <w:pPr>
              <w:ind w:left="360" w:right="200"/>
              <w:jc w:val="both"/>
              <w:rPr>
                <w:rFonts w:ascii="New Century Schlbk" w:hAnsi="New Century Schlbk"/>
                <w:sz w:val="16"/>
                <w:szCs w:val="16"/>
              </w:rPr>
            </w:pPr>
          </w:p>
        </w:tc>
      </w:tr>
      <w:tr w:rsidR="00DC54EA" w:rsidRPr="009A13E9" w14:paraId="295663EB" w14:textId="77777777">
        <w:tc>
          <w:tcPr>
            <w:tcW w:w="10440" w:type="dxa"/>
            <w:tcBorders>
              <w:left w:val="single" w:sz="12" w:space="0" w:color="auto"/>
              <w:right w:val="single" w:sz="12" w:space="0" w:color="auto"/>
            </w:tcBorders>
          </w:tcPr>
          <w:p w14:paraId="65668703" w14:textId="77777777" w:rsidR="00DC54EA" w:rsidRPr="009A13E9" w:rsidRDefault="00DC54EA">
            <w:pPr>
              <w:ind w:left="360" w:right="200"/>
              <w:jc w:val="both"/>
              <w:rPr>
                <w:rFonts w:ascii="New Century Schlbk" w:hAnsi="New Century Schlbk"/>
                <w:sz w:val="20"/>
              </w:rPr>
            </w:pPr>
            <w:r w:rsidRPr="007667C7">
              <w:rPr>
                <w:rFonts w:ascii="Arial" w:hAnsi="Arial"/>
                <w:sz w:val="20"/>
              </w:rPr>
              <w:t>Conspiracy to commit offense or to defraud United States, see § 371 of Title 18, Crimes and Criminal Procedure.</w:t>
            </w:r>
          </w:p>
        </w:tc>
      </w:tr>
      <w:tr w:rsidR="00DC54EA" w:rsidRPr="009A13E9" w14:paraId="361E7B40" w14:textId="77777777">
        <w:tc>
          <w:tcPr>
            <w:tcW w:w="10440" w:type="dxa"/>
            <w:tcBorders>
              <w:left w:val="single" w:sz="12" w:space="0" w:color="auto"/>
              <w:right w:val="single" w:sz="12" w:space="0" w:color="auto"/>
            </w:tcBorders>
          </w:tcPr>
          <w:p w14:paraId="72440270" w14:textId="77777777" w:rsidR="00DC54EA" w:rsidRPr="009A13E9" w:rsidRDefault="00DC54EA">
            <w:pPr>
              <w:ind w:left="360" w:right="200"/>
              <w:jc w:val="both"/>
              <w:rPr>
                <w:rFonts w:ascii="New Century Schlbk" w:hAnsi="New Century Schlbk"/>
                <w:sz w:val="20"/>
              </w:rPr>
            </w:pPr>
          </w:p>
        </w:tc>
      </w:tr>
      <w:tr w:rsidR="00DC54EA" w:rsidRPr="009A13E9" w14:paraId="067C54EB" w14:textId="77777777">
        <w:tc>
          <w:tcPr>
            <w:tcW w:w="10440" w:type="dxa"/>
            <w:tcBorders>
              <w:left w:val="single" w:sz="12" w:space="0" w:color="auto"/>
              <w:right w:val="single" w:sz="12" w:space="0" w:color="auto"/>
            </w:tcBorders>
          </w:tcPr>
          <w:p w14:paraId="4A6B03C4" w14:textId="77777777" w:rsidR="00DC54EA" w:rsidRPr="009A13E9" w:rsidRDefault="00DC54EA">
            <w:pPr>
              <w:ind w:left="360" w:right="200"/>
              <w:jc w:val="both"/>
              <w:rPr>
                <w:rFonts w:ascii="New Century Schlbk" w:hAnsi="New Century Schlbk"/>
                <w:sz w:val="20"/>
              </w:rPr>
            </w:pPr>
            <w:r w:rsidRPr="007667C7">
              <w:rPr>
                <w:rFonts w:ascii="Arial" w:hAnsi="Arial"/>
                <w:sz w:val="20"/>
              </w:rPr>
              <w:t>Discrimination in price, services or facilities, see § 13 of this title.</w:t>
            </w:r>
          </w:p>
        </w:tc>
      </w:tr>
      <w:tr w:rsidR="00DC54EA" w:rsidRPr="009A13E9" w14:paraId="239D6768" w14:textId="77777777">
        <w:tc>
          <w:tcPr>
            <w:tcW w:w="10440" w:type="dxa"/>
            <w:tcBorders>
              <w:left w:val="single" w:sz="12" w:space="0" w:color="auto"/>
              <w:right w:val="single" w:sz="12" w:space="0" w:color="auto"/>
            </w:tcBorders>
          </w:tcPr>
          <w:p w14:paraId="6AD25F42" w14:textId="77777777" w:rsidR="00DC54EA" w:rsidRPr="009A13E9" w:rsidRDefault="00DC54EA">
            <w:pPr>
              <w:ind w:left="360" w:right="200"/>
              <w:jc w:val="both"/>
              <w:rPr>
                <w:rFonts w:ascii="New Century Schlbk" w:hAnsi="New Century Schlbk"/>
                <w:sz w:val="20"/>
              </w:rPr>
            </w:pPr>
          </w:p>
        </w:tc>
      </w:tr>
      <w:tr w:rsidR="00DC54EA" w:rsidRPr="009A13E9" w14:paraId="2DC28368" w14:textId="77777777">
        <w:tc>
          <w:tcPr>
            <w:tcW w:w="10440" w:type="dxa"/>
            <w:tcBorders>
              <w:left w:val="single" w:sz="12" w:space="0" w:color="auto"/>
              <w:right w:val="single" w:sz="12" w:space="0" w:color="auto"/>
            </w:tcBorders>
          </w:tcPr>
          <w:p w14:paraId="6894C124" w14:textId="77777777" w:rsidR="00DC54EA" w:rsidRPr="009A13E9" w:rsidRDefault="00DC54EA">
            <w:pPr>
              <w:ind w:left="360" w:right="200"/>
              <w:jc w:val="both"/>
              <w:rPr>
                <w:rFonts w:ascii="New Century Schlbk" w:hAnsi="New Century Schlbk"/>
                <w:sz w:val="20"/>
              </w:rPr>
            </w:pPr>
            <w:r w:rsidRPr="007667C7">
              <w:rPr>
                <w:rFonts w:ascii="Arial" w:hAnsi="Arial"/>
                <w:sz w:val="20"/>
              </w:rPr>
              <w:t>Fishing industry, restraints of trade in, see § 522 of this title.</w:t>
            </w:r>
          </w:p>
        </w:tc>
      </w:tr>
      <w:tr w:rsidR="00DC54EA" w:rsidRPr="009A13E9" w14:paraId="6F9433C3" w14:textId="77777777">
        <w:tc>
          <w:tcPr>
            <w:tcW w:w="10440" w:type="dxa"/>
            <w:tcBorders>
              <w:left w:val="single" w:sz="12" w:space="0" w:color="auto"/>
              <w:right w:val="single" w:sz="12" w:space="0" w:color="auto"/>
            </w:tcBorders>
          </w:tcPr>
          <w:p w14:paraId="1A37F3E4" w14:textId="77777777" w:rsidR="00DC54EA" w:rsidRPr="009A13E9" w:rsidRDefault="00DC54EA">
            <w:pPr>
              <w:ind w:left="360" w:right="200"/>
              <w:jc w:val="both"/>
              <w:rPr>
                <w:rFonts w:ascii="New Century Schlbk" w:hAnsi="New Century Schlbk"/>
                <w:sz w:val="20"/>
              </w:rPr>
            </w:pPr>
          </w:p>
        </w:tc>
      </w:tr>
      <w:tr w:rsidR="00DC54EA" w:rsidRPr="009A13E9" w14:paraId="4EF84217" w14:textId="77777777">
        <w:tc>
          <w:tcPr>
            <w:tcW w:w="10440" w:type="dxa"/>
            <w:tcBorders>
              <w:left w:val="single" w:sz="12" w:space="0" w:color="auto"/>
              <w:right w:val="single" w:sz="12" w:space="0" w:color="auto"/>
            </w:tcBorders>
          </w:tcPr>
          <w:p w14:paraId="2392BA0D"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Misdemeanor </w:t>
            </w:r>
            <w:proofErr w:type="gramStart"/>
            <w:r w:rsidRPr="007667C7">
              <w:rPr>
                <w:rFonts w:ascii="Arial" w:hAnsi="Arial"/>
                <w:sz w:val="20"/>
              </w:rPr>
              <w:t>defined,</w:t>
            </w:r>
            <w:proofErr w:type="gramEnd"/>
            <w:r w:rsidRPr="007667C7">
              <w:rPr>
                <w:rFonts w:ascii="Arial" w:hAnsi="Arial"/>
                <w:sz w:val="20"/>
              </w:rPr>
              <w:t xml:space="preserve"> see § 1 of Title 18, Crimes and Criminal Procedure.</w:t>
            </w:r>
          </w:p>
        </w:tc>
      </w:tr>
      <w:tr w:rsidR="00DC54EA" w:rsidRPr="009A13E9" w14:paraId="6191ED7C" w14:textId="77777777">
        <w:tc>
          <w:tcPr>
            <w:tcW w:w="10440" w:type="dxa"/>
            <w:tcBorders>
              <w:left w:val="single" w:sz="12" w:space="0" w:color="auto"/>
              <w:right w:val="single" w:sz="12" w:space="0" w:color="auto"/>
            </w:tcBorders>
          </w:tcPr>
          <w:p w14:paraId="250C3D21" w14:textId="77777777" w:rsidR="00DC54EA" w:rsidRPr="009A13E9" w:rsidRDefault="00DC54EA">
            <w:pPr>
              <w:ind w:left="360" w:right="200"/>
              <w:jc w:val="both"/>
              <w:rPr>
                <w:rFonts w:ascii="New Century Schlbk" w:hAnsi="New Century Schlbk"/>
                <w:sz w:val="20"/>
              </w:rPr>
            </w:pPr>
          </w:p>
        </w:tc>
      </w:tr>
      <w:tr w:rsidR="00DC54EA" w:rsidRPr="009A13E9" w14:paraId="4A65C20B" w14:textId="77777777">
        <w:tc>
          <w:tcPr>
            <w:tcW w:w="10440" w:type="dxa"/>
            <w:tcBorders>
              <w:left w:val="single" w:sz="12" w:space="0" w:color="auto"/>
              <w:right w:val="single" w:sz="12" w:space="0" w:color="auto"/>
            </w:tcBorders>
          </w:tcPr>
          <w:p w14:paraId="3650875D" w14:textId="77777777" w:rsidR="00DC54EA" w:rsidRPr="009A13E9" w:rsidRDefault="00DC54EA">
            <w:pPr>
              <w:ind w:left="360" w:right="200"/>
              <w:jc w:val="both"/>
              <w:rPr>
                <w:rFonts w:ascii="New Century Schlbk" w:hAnsi="New Century Schlbk"/>
                <w:sz w:val="20"/>
              </w:rPr>
            </w:pPr>
            <w:r w:rsidRPr="007667C7">
              <w:rPr>
                <w:rFonts w:ascii="Arial" w:hAnsi="Arial"/>
                <w:sz w:val="20"/>
              </w:rPr>
              <w:t>Monopolies prohibited, see § 2 of this title.</w:t>
            </w:r>
          </w:p>
        </w:tc>
      </w:tr>
      <w:tr w:rsidR="00DC54EA" w:rsidRPr="009A13E9" w14:paraId="5CEC099D" w14:textId="77777777">
        <w:tc>
          <w:tcPr>
            <w:tcW w:w="10440" w:type="dxa"/>
            <w:tcBorders>
              <w:left w:val="single" w:sz="12" w:space="0" w:color="auto"/>
              <w:right w:val="single" w:sz="12" w:space="0" w:color="auto"/>
            </w:tcBorders>
          </w:tcPr>
          <w:p w14:paraId="3CD1EFDF" w14:textId="77777777" w:rsidR="00DC54EA" w:rsidRPr="009A13E9" w:rsidRDefault="00DC54EA">
            <w:pPr>
              <w:ind w:left="360" w:right="200"/>
              <w:jc w:val="both"/>
              <w:rPr>
                <w:rFonts w:ascii="New Century Schlbk" w:hAnsi="New Century Schlbk"/>
                <w:sz w:val="20"/>
              </w:rPr>
            </w:pPr>
          </w:p>
        </w:tc>
      </w:tr>
      <w:tr w:rsidR="00DC54EA" w:rsidRPr="009A13E9" w14:paraId="4E32A1D0" w14:textId="77777777">
        <w:tc>
          <w:tcPr>
            <w:tcW w:w="10440" w:type="dxa"/>
            <w:tcBorders>
              <w:left w:val="single" w:sz="12" w:space="0" w:color="auto"/>
              <w:right w:val="single" w:sz="12" w:space="0" w:color="auto"/>
            </w:tcBorders>
          </w:tcPr>
          <w:p w14:paraId="6639B070" w14:textId="77777777" w:rsidR="00DC54EA" w:rsidRPr="009A13E9" w:rsidRDefault="00DC54EA">
            <w:pPr>
              <w:ind w:left="360" w:right="200"/>
              <w:jc w:val="both"/>
              <w:rPr>
                <w:rFonts w:ascii="New Century Schlbk" w:hAnsi="New Century Schlbk"/>
                <w:sz w:val="20"/>
              </w:rPr>
            </w:pPr>
            <w:r w:rsidRPr="007667C7">
              <w:rPr>
                <w:rFonts w:ascii="Arial" w:hAnsi="Arial"/>
                <w:sz w:val="20"/>
              </w:rPr>
              <w:t>Trusts in territories or District of Columbia prohibited, see § 3 of this title.</w:t>
            </w:r>
          </w:p>
        </w:tc>
      </w:tr>
      <w:tr w:rsidR="00DC54EA" w:rsidRPr="009A13E9" w14:paraId="678CA590" w14:textId="77777777">
        <w:tc>
          <w:tcPr>
            <w:tcW w:w="10440" w:type="dxa"/>
            <w:tcBorders>
              <w:left w:val="single" w:sz="12" w:space="0" w:color="auto"/>
              <w:right w:val="single" w:sz="12" w:space="0" w:color="auto"/>
            </w:tcBorders>
          </w:tcPr>
          <w:p w14:paraId="07767C56" w14:textId="77777777" w:rsidR="00DC54EA" w:rsidRPr="009A13E9" w:rsidRDefault="00DC54EA">
            <w:pPr>
              <w:ind w:left="360" w:right="200"/>
              <w:jc w:val="both"/>
              <w:rPr>
                <w:rFonts w:ascii="New Century Schlbk" w:hAnsi="New Century Schlbk"/>
                <w:sz w:val="16"/>
              </w:rPr>
            </w:pPr>
          </w:p>
        </w:tc>
      </w:tr>
      <w:tr w:rsidR="00DC54EA" w:rsidRPr="007667C7" w14:paraId="551DDF30" w14:textId="77777777">
        <w:tc>
          <w:tcPr>
            <w:tcW w:w="10440" w:type="dxa"/>
            <w:tcBorders>
              <w:left w:val="single" w:sz="12" w:space="0" w:color="auto"/>
              <w:right w:val="single" w:sz="12" w:space="0" w:color="auto"/>
            </w:tcBorders>
          </w:tcPr>
          <w:p w14:paraId="19B8799B" w14:textId="77777777" w:rsidR="00DC54EA" w:rsidRPr="009A13E9" w:rsidRDefault="00DC54EA">
            <w:pPr>
              <w:ind w:left="360" w:right="200"/>
              <w:jc w:val="both"/>
              <w:rPr>
                <w:rFonts w:ascii="New Century Schlbk" w:hAnsi="New Century Schlbk"/>
                <w:sz w:val="16"/>
              </w:rPr>
            </w:pPr>
          </w:p>
        </w:tc>
      </w:tr>
      <w:tr w:rsidR="00DC54EA" w:rsidRPr="009A13E9" w14:paraId="2E7D26F1" w14:textId="77777777">
        <w:tc>
          <w:tcPr>
            <w:tcW w:w="10440" w:type="dxa"/>
            <w:tcBorders>
              <w:left w:val="single" w:sz="12" w:space="0" w:color="auto"/>
              <w:right w:val="single" w:sz="12" w:space="0" w:color="auto"/>
            </w:tcBorders>
          </w:tcPr>
          <w:p w14:paraId="760810E5" w14:textId="77777777" w:rsidR="00DC54EA" w:rsidRPr="009A13E9" w:rsidRDefault="00DC54EA">
            <w:pPr>
              <w:ind w:left="360" w:right="200"/>
              <w:jc w:val="center"/>
              <w:rPr>
                <w:rFonts w:ascii="New Century Schlbk" w:hAnsi="New Century Schlbk"/>
                <w:sz w:val="20"/>
              </w:rPr>
            </w:pPr>
            <w:r w:rsidRPr="007667C7">
              <w:rPr>
                <w:rFonts w:ascii="Arial" w:hAnsi="Arial"/>
                <w:b/>
                <w:sz w:val="20"/>
              </w:rPr>
              <w:t>FEDERAL PRACTICE AND PROCEDURE</w:t>
            </w:r>
          </w:p>
        </w:tc>
      </w:tr>
      <w:tr w:rsidR="00DC54EA" w:rsidRPr="009A13E9" w14:paraId="7B73D1F3" w14:textId="77777777">
        <w:tc>
          <w:tcPr>
            <w:tcW w:w="10440" w:type="dxa"/>
            <w:tcBorders>
              <w:left w:val="single" w:sz="12" w:space="0" w:color="auto"/>
              <w:right w:val="single" w:sz="12" w:space="0" w:color="auto"/>
            </w:tcBorders>
          </w:tcPr>
          <w:p w14:paraId="124BA7DF" w14:textId="77777777" w:rsidR="00DC54EA" w:rsidRPr="009A13E9" w:rsidRDefault="00DC54EA">
            <w:pPr>
              <w:ind w:left="360" w:right="200"/>
              <w:jc w:val="both"/>
              <w:rPr>
                <w:rFonts w:ascii="New Century Schlbk" w:hAnsi="New Century Schlbk"/>
                <w:sz w:val="16"/>
              </w:rPr>
            </w:pPr>
          </w:p>
        </w:tc>
      </w:tr>
      <w:tr w:rsidR="00DC54EA" w:rsidRPr="009A13E9" w14:paraId="31D6C6BD" w14:textId="77777777">
        <w:tc>
          <w:tcPr>
            <w:tcW w:w="10440" w:type="dxa"/>
            <w:tcBorders>
              <w:left w:val="single" w:sz="12" w:space="0" w:color="auto"/>
              <w:right w:val="single" w:sz="12" w:space="0" w:color="auto"/>
            </w:tcBorders>
          </w:tcPr>
          <w:p w14:paraId="254A6378" w14:textId="77777777" w:rsidR="00DC54EA" w:rsidRPr="009A13E9" w:rsidRDefault="00DC54EA">
            <w:pPr>
              <w:ind w:left="360" w:right="200"/>
              <w:jc w:val="both"/>
              <w:rPr>
                <w:rFonts w:ascii="New Century Schlbk" w:hAnsi="New Century Schlbk"/>
                <w:sz w:val="20"/>
              </w:rPr>
            </w:pPr>
            <w:r w:rsidRPr="007667C7">
              <w:rPr>
                <w:rFonts w:ascii="Arial" w:hAnsi="Arial"/>
                <w:sz w:val="20"/>
              </w:rPr>
              <w:t>1990 Pocket Part Federal Practice and Procedure</w:t>
            </w:r>
          </w:p>
        </w:tc>
      </w:tr>
      <w:tr w:rsidR="00DC54EA" w:rsidRPr="009A13E9" w14:paraId="01529357" w14:textId="77777777">
        <w:tc>
          <w:tcPr>
            <w:tcW w:w="10440" w:type="dxa"/>
            <w:tcBorders>
              <w:left w:val="single" w:sz="12" w:space="0" w:color="auto"/>
              <w:right w:val="single" w:sz="12" w:space="0" w:color="auto"/>
            </w:tcBorders>
          </w:tcPr>
          <w:p w14:paraId="179319D4" w14:textId="77777777" w:rsidR="00DC54EA" w:rsidRPr="009A13E9" w:rsidRDefault="00DC54EA">
            <w:pPr>
              <w:ind w:left="360" w:right="200"/>
              <w:jc w:val="both"/>
              <w:rPr>
                <w:rFonts w:ascii="New Century Schlbk" w:hAnsi="New Century Schlbk"/>
                <w:sz w:val="16"/>
              </w:rPr>
            </w:pPr>
          </w:p>
        </w:tc>
      </w:tr>
      <w:tr w:rsidR="00DC54EA" w:rsidRPr="009A13E9" w14:paraId="7291EE46" w14:textId="77777777">
        <w:tc>
          <w:tcPr>
            <w:tcW w:w="10440" w:type="dxa"/>
            <w:tcBorders>
              <w:left w:val="single" w:sz="12" w:space="0" w:color="auto"/>
              <w:right w:val="single" w:sz="12" w:space="0" w:color="auto"/>
            </w:tcBorders>
          </w:tcPr>
          <w:p w14:paraId="57EB225B" w14:textId="77777777" w:rsidR="00DC54EA" w:rsidRPr="009A13E9" w:rsidRDefault="00DC54EA">
            <w:pPr>
              <w:ind w:left="360" w:right="200"/>
              <w:jc w:val="both"/>
              <w:rPr>
                <w:rFonts w:ascii="New Century Schlbk" w:hAnsi="New Century Schlbk"/>
                <w:sz w:val="20"/>
              </w:rPr>
            </w:pPr>
            <w:r w:rsidRPr="007667C7">
              <w:rPr>
                <w:rFonts w:ascii="Arial" w:hAnsi="Arial"/>
                <w:sz w:val="20"/>
              </w:rPr>
              <w:t>Adding new parties, see Wright &amp; Miller:  Civil § 1504.</w:t>
            </w:r>
          </w:p>
        </w:tc>
      </w:tr>
      <w:tr w:rsidR="00DC54EA" w:rsidRPr="009A13E9" w14:paraId="3120EFA3" w14:textId="77777777">
        <w:tc>
          <w:tcPr>
            <w:tcW w:w="10440" w:type="dxa"/>
            <w:tcBorders>
              <w:left w:val="single" w:sz="12" w:space="0" w:color="auto"/>
              <w:right w:val="single" w:sz="12" w:space="0" w:color="auto"/>
            </w:tcBorders>
          </w:tcPr>
          <w:p w14:paraId="636EEA57" w14:textId="77777777" w:rsidR="00DC54EA" w:rsidRPr="009A13E9" w:rsidRDefault="00DC54EA">
            <w:pPr>
              <w:ind w:left="360" w:right="200"/>
              <w:jc w:val="both"/>
              <w:rPr>
                <w:rFonts w:ascii="New Century Schlbk" w:hAnsi="New Century Schlbk"/>
                <w:sz w:val="16"/>
              </w:rPr>
            </w:pPr>
          </w:p>
        </w:tc>
      </w:tr>
      <w:tr w:rsidR="00DC54EA" w:rsidRPr="009A13E9" w14:paraId="31841E83" w14:textId="77777777">
        <w:tc>
          <w:tcPr>
            <w:tcW w:w="10440" w:type="dxa"/>
            <w:tcBorders>
              <w:left w:val="single" w:sz="12" w:space="0" w:color="auto"/>
              <w:right w:val="single" w:sz="12" w:space="0" w:color="auto"/>
            </w:tcBorders>
          </w:tcPr>
          <w:p w14:paraId="5796067F" w14:textId="77777777" w:rsidR="00DC54EA" w:rsidRPr="009A13E9" w:rsidRDefault="00DC54EA">
            <w:pPr>
              <w:ind w:left="360" w:right="200"/>
              <w:jc w:val="both"/>
              <w:rPr>
                <w:rFonts w:ascii="New Century Schlbk" w:hAnsi="New Century Schlbk"/>
                <w:sz w:val="20"/>
              </w:rPr>
            </w:pPr>
            <w:r w:rsidRPr="007667C7">
              <w:rPr>
                <w:rFonts w:ascii="Arial" w:hAnsi="Arial"/>
                <w:sz w:val="20"/>
              </w:rPr>
              <w:t>Adequacy of representation of members in class actions instituted under sections 1 to 7 of this title, see Wright, Miller &amp; Kane:  Civil 2d § 1765.</w:t>
            </w:r>
          </w:p>
        </w:tc>
      </w:tr>
      <w:tr w:rsidR="00DC54EA" w:rsidRPr="009A13E9" w14:paraId="1532E8F4" w14:textId="77777777">
        <w:tc>
          <w:tcPr>
            <w:tcW w:w="10440" w:type="dxa"/>
            <w:tcBorders>
              <w:left w:val="single" w:sz="12" w:space="0" w:color="auto"/>
              <w:right w:val="single" w:sz="12" w:space="0" w:color="auto"/>
            </w:tcBorders>
          </w:tcPr>
          <w:p w14:paraId="34936267" w14:textId="77777777" w:rsidR="00DC54EA" w:rsidRPr="009A13E9" w:rsidRDefault="00DC54EA">
            <w:pPr>
              <w:ind w:left="360" w:right="200"/>
              <w:jc w:val="both"/>
              <w:rPr>
                <w:rFonts w:ascii="New Century Schlbk" w:hAnsi="New Century Schlbk"/>
                <w:sz w:val="16"/>
              </w:rPr>
            </w:pPr>
          </w:p>
        </w:tc>
      </w:tr>
      <w:tr w:rsidR="00DC54EA" w:rsidRPr="009A13E9" w14:paraId="21B62563" w14:textId="77777777">
        <w:tc>
          <w:tcPr>
            <w:tcW w:w="10440" w:type="dxa"/>
            <w:tcBorders>
              <w:left w:val="single" w:sz="12" w:space="0" w:color="auto"/>
              <w:right w:val="single" w:sz="12" w:space="0" w:color="auto"/>
            </w:tcBorders>
          </w:tcPr>
          <w:p w14:paraId="5D1FA2D1" w14:textId="77777777" w:rsidR="00DC54EA" w:rsidRPr="009A13E9" w:rsidRDefault="00DC54EA">
            <w:pPr>
              <w:ind w:left="360" w:right="200"/>
              <w:jc w:val="both"/>
              <w:rPr>
                <w:rFonts w:ascii="New Century Schlbk" w:hAnsi="New Century Schlbk"/>
                <w:sz w:val="20"/>
              </w:rPr>
            </w:pPr>
            <w:r w:rsidRPr="007667C7">
              <w:rPr>
                <w:rFonts w:ascii="Arial" w:hAnsi="Arial"/>
                <w:sz w:val="20"/>
              </w:rPr>
              <w:t>Answers to interrogatories with respect to justification for unlawful activity, see Wright &amp; Miller:  Civil § 2167.</w:t>
            </w:r>
          </w:p>
        </w:tc>
      </w:tr>
      <w:tr w:rsidR="00DC54EA" w:rsidRPr="009A13E9" w14:paraId="194F55A1" w14:textId="77777777">
        <w:tc>
          <w:tcPr>
            <w:tcW w:w="10440" w:type="dxa"/>
            <w:tcBorders>
              <w:left w:val="single" w:sz="12" w:space="0" w:color="auto"/>
              <w:right w:val="single" w:sz="12" w:space="0" w:color="auto"/>
            </w:tcBorders>
          </w:tcPr>
          <w:p w14:paraId="63C50B4C" w14:textId="77777777" w:rsidR="00DC54EA" w:rsidRPr="009A13E9" w:rsidRDefault="00DC54EA">
            <w:pPr>
              <w:ind w:left="360" w:right="200"/>
              <w:jc w:val="both"/>
              <w:rPr>
                <w:rFonts w:ascii="New Century Schlbk" w:hAnsi="New Century Schlbk"/>
                <w:sz w:val="16"/>
              </w:rPr>
            </w:pPr>
          </w:p>
        </w:tc>
      </w:tr>
      <w:tr w:rsidR="00DC54EA" w:rsidRPr="009A13E9" w14:paraId="49E3E56E" w14:textId="77777777">
        <w:tc>
          <w:tcPr>
            <w:tcW w:w="10440" w:type="dxa"/>
            <w:tcBorders>
              <w:left w:val="single" w:sz="12" w:space="0" w:color="auto"/>
              <w:right w:val="single" w:sz="12" w:space="0" w:color="auto"/>
            </w:tcBorders>
          </w:tcPr>
          <w:p w14:paraId="1394AE00" w14:textId="77777777" w:rsidR="00DC54EA" w:rsidRPr="009A13E9" w:rsidRDefault="00DC54EA">
            <w:pPr>
              <w:ind w:left="360" w:right="200"/>
              <w:jc w:val="both"/>
              <w:rPr>
                <w:rFonts w:ascii="New Century Schlbk" w:hAnsi="New Century Schlbk"/>
                <w:sz w:val="20"/>
              </w:rPr>
            </w:pPr>
            <w:r w:rsidRPr="007667C7">
              <w:rPr>
                <w:rFonts w:ascii="Arial" w:hAnsi="Arial"/>
                <w:sz w:val="20"/>
              </w:rPr>
              <w:t>Applicability of rule relating to summary judgment, see Wright, Miller &amp; Kane: Civil 2d § 2730.</w:t>
            </w:r>
          </w:p>
        </w:tc>
      </w:tr>
      <w:tr w:rsidR="00DC54EA" w:rsidRPr="009A13E9" w14:paraId="6E519991" w14:textId="77777777">
        <w:tc>
          <w:tcPr>
            <w:tcW w:w="10440" w:type="dxa"/>
            <w:tcBorders>
              <w:left w:val="single" w:sz="12" w:space="0" w:color="auto"/>
              <w:right w:val="single" w:sz="12" w:space="0" w:color="auto"/>
            </w:tcBorders>
          </w:tcPr>
          <w:p w14:paraId="46E585FA" w14:textId="77777777" w:rsidR="00DC54EA" w:rsidRPr="009A13E9" w:rsidRDefault="00DC54EA">
            <w:pPr>
              <w:ind w:left="360" w:right="200"/>
              <w:jc w:val="both"/>
              <w:rPr>
                <w:rFonts w:ascii="New Century Schlbk" w:hAnsi="New Century Schlbk"/>
                <w:sz w:val="20"/>
              </w:rPr>
            </w:pPr>
          </w:p>
        </w:tc>
      </w:tr>
      <w:tr w:rsidR="00DC54EA" w:rsidRPr="009A13E9" w14:paraId="1CA89387" w14:textId="77777777">
        <w:tc>
          <w:tcPr>
            <w:tcW w:w="10440" w:type="dxa"/>
            <w:tcBorders>
              <w:left w:val="single" w:sz="12" w:space="0" w:color="auto"/>
              <w:right w:val="single" w:sz="12" w:space="0" w:color="auto"/>
            </w:tcBorders>
          </w:tcPr>
          <w:p w14:paraId="4B7D3009" w14:textId="77777777" w:rsidR="00DC54EA" w:rsidRPr="009A13E9" w:rsidRDefault="00DC54EA">
            <w:pPr>
              <w:ind w:left="360" w:right="200"/>
              <w:jc w:val="both"/>
              <w:rPr>
                <w:rFonts w:ascii="New Century Schlbk" w:hAnsi="New Century Schlbk"/>
                <w:sz w:val="20"/>
              </w:rPr>
            </w:pPr>
            <w:r w:rsidRPr="007667C7">
              <w:rPr>
                <w:rFonts w:ascii="Arial" w:hAnsi="Arial"/>
                <w:sz w:val="20"/>
              </w:rPr>
              <w:t>Applicability of standards developed by federal courts under sections 1 to 7 of this title to certain in</w:t>
            </w:r>
            <w:r w:rsidRPr="007667C7">
              <w:rPr>
                <w:rFonts w:ascii="Arial" w:hAnsi="Arial"/>
                <w:sz w:val="20"/>
              </w:rPr>
              <w:softHyphen/>
              <w:t xml:space="preserve">trastate transactions, see Wright, Miller, Cooper &amp; </w:t>
            </w:r>
            <w:proofErr w:type="spellStart"/>
            <w:r w:rsidRPr="007667C7">
              <w:rPr>
                <w:rFonts w:ascii="Arial" w:hAnsi="Arial"/>
                <w:sz w:val="20"/>
              </w:rPr>
              <w:t>Gressman</w:t>
            </w:r>
            <w:proofErr w:type="spellEnd"/>
            <w:r w:rsidRPr="007667C7">
              <w:rPr>
                <w:rFonts w:ascii="Arial" w:hAnsi="Arial"/>
                <w:sz w:val="20"/>
              </w:rPr>
              <w:t>:  Jurisdiction § 4031.</w:t>
            </w:r>
          </w:p>
        </w:tc>
      </w:tr>
      <w:tr w:rsidR="00DC54EA" w:rsidRPr="009A13E9" w14:paraId="7B564099" w14:textId="77777777">
        <w:tc>
          <w:tcPr>
            <w:tcW w:w="10440" w:type="dxa"/>
            <w:tcBorders>
              <w:left w:val="single" w:sz="12" w:space="0" w:color="auto"/>
              <w:right w:val="single" w:sz="12" w:space="0" w:color="auto"/>
            </w:tcBorders>
          </w:tcPr>
          <w:p w14:paraId="0A3055BF" w14:textId="77777777" w:rsidR="00DC54EA" w:rsidRPr="009A13E9" w:rsidRDefault="00DC54EA">
            <w:pPr>
              <w:ind w:left="360" w:right="200"/>
              <w:jc w:val="both"/>
              <w:rPr>
                <w:rFonts w:ascii="New Century Schlbk" w:hAnsi="New Century Schlbk"/>
                <w:sz w:val="20"/>
              </w:rPr>
            </w:pPr>
          </w:p>
        </w:tc>
      </w:tr>
      <w:tr w:rsidR="00DC54EA" w:rsidRPr="009A13E9" w14:paraId="0E72BFCF" w14:textId="77777777">
        <w:tc>
          <w:tcPr>
            <w:tcW w:w="10440" w:type="dxa"/>
            <w:tcBorders>
              <w:left w:val="single" w:sz="12" w:space="0" w:color="auto"/>
              <w:right w:val="single" w:sz="12" w:space="0" w:color="auto"/>
            </w:tcBorders>
          </w:tcPr>
          <w:p w14:paraId="36F920F9" w14:textId="77777777" w:rsidR="00DC54EA" w:rsidRPr="009A13E9" w:rsidRDefault="00DC54EA">
            <w:pPr>
              <w:ind w:left="360" w:right="200"/>
              <w:jc w:val="both"/>
              <w:rPr>
                <w:rFonts w:ascii="New Century Schlbk" w:hAnsi="New Century Schlbk"/>
                <w:sz w:val="20"/>
              </w:rPr>
            </w:pPr>
            <w:r w:rsidRPr="007667C7">
              <w:rPr>
                <w:rFonts w:ascii="Arial" w:hAnsi="Arial"/>
                <w:sz w:val="20"/>
              </w:rPr>
              <w:t>Authority of district court to award injunctive relief in actions to restrain antitrust violations, see Wright &amp; Miller:  Civil § 2942.</w:t>
            </w:r>
          </w:p>
        </w:tc>
      </w:tr>
      <w:tr w:rsidR="00DC54EA" w:rsidRPr="009A13E9" w14:paraId="098195DB" w14:textId="77777777">
        <w:tc>
          <w:tcPr>
            <w:tcW w:w="10440" w:type="dxa"/>
            <w:tcBorders>
              <w:left w:val="single" w:sz="12" w:space="0" w:color="auto"/>
              <w:right w:val="single" w:sz="12" w:space="0" w:color="auto"/>
            </w:tcBorders>
          </w:tcPr>
          <w:p w14:paraId="63352963" w14:textId="77777777" w:rsidR="00DC54EA" w:rsidRPr="009A13E9" w:rsidRDefault="00DC54EA">
            <w:pPr>
              <w:ind w:left="360" w:right="200"/>
              <w:jc w:val="both"/>
              <w:rPr>
                <w:rFonts w:ascii="New Century Schlbk" w:hAnsi="New Century Schlbk"/>
                <w:sz w:val="20"/>
              </w:rPr>
            </w:pPr>
          </w:p>
        </w:tc>
      </w:tr>
      <w:tr w:rsidR="00DC54EA" w:rsidRPr="009A13E9" w14:paraId="0AFA4317" w14:textId="77777777">
        <w:tc>
          <w:tcPr>
            <w:tcW w:w="10440" w:type="dxa"/>
            <w:tcBorders>
              <w:left w:val="single" w:sz="12" w:space="0" w:color="auto"/>
              <w:right w:val="single" w:sz="12" w:space="0" w:color="auto"/>
            </w:tcBorders>
          </w:tcPr>
          <w:p w14:paraId="4B5EB2B2" w14:textId="77777777" w:rsidR="00DC54EA" w:rsidRPr="009A13E9" w:rsidRDefault="00DC54EA">
            <w:pPr>
              <w:ind w:left="360" w:right="200"/>
              <w:jc w:val="both"/>
              <w:rPr>
                <w:rFonts w:ascii="New Century Schlbk" w:hAnsi="New Century Schlbk"/>
                <w:sz w:val="20"/>
              </w:rPr>
            </w:pPr>
            <w:r w:rsidRPr="007667C7">
              <w:rPr>
                <w:rFonts w:ascii="Arial" w:hAnsi="Arial"/>
                <w:sz w:val="20"/>
              </w:rPr>
              <w:t>Capacity of unincorporated association to sue and be sued, see Wright &amp; Miller:  Civil § 1564.</w:t>
            </w:r>
          </w:p>
        </w:tc>
      </w:tr>
      <w:tr w:rsidR="00DC54EA" w:rsidRPr="009A13E9" w14:paraId="3389740B" w14:textId="77777777">
        <w:tc>
          <w:tcPr>
            <w:tcW w:w="10440" w:type="dxa"/>
            <w:tcBorders>
              <w:left w:val="single" w:sz="12" w:space="0" w:color="auto"/>
              <w:right w:val="single" w:sz="12" w:space="0" w:color="auto"/>
            </w:tcBorders>
          </w:tcPr>
          <w:p w14:paraId="3DEC7676" w14:textId="77777777" w:rsidR="00DC54EA" w:rsidRPr="009A13E9" w:rsidRDefault="00DC54EA">
            <w:pPr>
              <w:ind w:left="360" w:right="200"/>
              <w:jc w:val="both"/>
              <w:rPr>
                <w:rFonts w:ascii="New Century Schlbk" w:hAnsi="New Century Schlbk"/>
                <w:sz w:val="20"/>
              </w:rPr>
            </w:pPr>
          </w:p>
        </w:tc>
      </w:tr>
      <w:tr w:rsidR="00DC54EA" w:rsidRPr="009A13E9" w14:paraId="148A7287" w14:textId="77777777">
        <w:tc>
          <w:tcPr>
            <w:tcW w:w="10440" w:type="dxa"/>
            <w:tcBorders>
              <w:left w:val="single" w:sz="12" w:space="0" w:color="auto"/>
              <w:right w:val="single" w:sz="12" w:space="0" w:color="auto"/>
            </w:tcBorders>
          </w:tcPr>
          <w:p w14:paraId="3B35A868" w14:textId="77777777" w:rsidR="00DC54EA" w:rsidRPr="009A13E9" w:rsidRDefault="00DC54EA">
            <w:pPr>
              <w:ind w:left="360" w:right="200"/>
              <w:jc w:val="both"/>
              <w:rPr>
                <w:rFonts w:ascii="New Century Schlbk" w:hAnsi="New Century Schlbk"/>
                <w:sz w:val="20"/>
              </w:rPr>
            </w:pPr>
            <w:r w:rsidRPr="007667C7">
              <w:rPr>
                <w:rFonts w:ascii="Arial" w:hAnsi="Arial"/>
                <w:sz w:val="20"/>
              </w:rPr>
              <w:t>Discretion of court in taxing costs, see Wright, Miller &amp; Kane:  Civil 2d § 2668.</w:t>
            </w:r>
          </w:p>
        </w:tc>
      </w:tr>
      <w:tr w:rsidR="00DC54EA" w:rsidRPr="009A13E9" w14:paraId="40C9BB26" w14:textId="77777777">
        <w:tc>
          <w:tcPr>
            <w:tcW w:w="10440" w:type="dxa"/>
            <w:tcBorders>
              <w:left w:val="single" w:sz="12" w:space="0" w:color="auto"/>
              <w:right w:val="single" w:sz="12" w:space="0" w:color="auto"/>
            </w:tcBorders>
          </w:tcPr>
          <w:p w14:paraId="1E58693B" w14:textId="77777777" w:rsidR="00DC54EA" w:rsidRPr="009A13E9" w:rsidRDefault="00DC54EA">
            <w:pPr>
              <w:ind w:left="360" w:right="200"/>
              <w:jc w:val="both"/>
              <w:rPr>
                <w:rFonts w:ascii="New Century Schlbk" w:hAnsi="New Century Schlbk"/>
                <w:sz w:val="20"/>
              </w:rPr>
            </w:pPr>
          </w:p>
        </w:tc>
      </w:tr>
      <w:tr w:rsidR="00DC54EA" w:rsidRPr="009A13E9" w14:paraId="0427BB6B" w14:textId="77777777">
        <w:tc>
          <w:tcPr>
            <w:tcW w:w="10440" w:type="dxa"/>
            <w:tcBorders>
              <w:left w:val="single" w:sz="12" w:space="0" w:color="auto"/>
              <w:right w:val="single" w:sz="12" w:space="0" w:color="auto"/>
            </w:tcBorders>
          </w:tcPr>
          <w:p w14:paraId="161D7BEC"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Elements of offense to be alleged directly and with </w:t>
            </w:r>
            <w:proofErr w:type="gramStart"/>
            <w:r w:rsidRPr="007667C7">
              <w:rPr>
                <w:rFonts w:ascii="Arial" w:hAnsi="Arial"/>
                <w:sz w:val="20"/>
              </w:rPr>
              <w:t>certainty,</w:t>
            </w:r>
            <w:proofErr w:type="gramEnd"/>
            <w:r w:rsidRPr="007667C7">
              <w:rPr>
                <w:rFonts w:ascii="Arial" w:hAnsi="Arial"/>
                <w:sz w:val="20"/>
              </w:rPr>
              <w:t xml:space="preserve"> see Wright: Criminal 2d § 126.</w:t>
            </w:r>
          </w:p>
        </w:tc>
      </w:tr>
      <w:tr w:rsidR="00DC54EA" w:rsidRPr="009A13E9" w14:paraId="56A1DC45" w14:textId="77777777">
        <w:tc>
          <w:tcPr>
            <w:tcW w:w="10440" w:type="dxa"/>
            <w:tcBorders>
              <w:left w:val="single" w:sz="12" w:space="0" w:color="auto"/>
              <w:right w:val="single" w:sz="12" w:space="0" w:color="auto"/>
            </w:tcBorders>
          </w:tcPr>
          <w:p w14:paraId="034DB192" w14:textId="77777777" w:rsidR="00DC54EA" w:rsidRPr="009A13E9" w:rsidRDefault="00DC54EA">
            <w:pPr>
              <w:ind w:left="360" w:right="200"/>
              <w:jc w:val="both"/>
              <w:rPr>
                <w:rFonts w:ascii="New Century Schlbk" w:hAnsi="New Century Schlbk"/>
                <w:sz w:val="20"/>
              </w:rPr>
            </w:pPr>
          </w:p>
        </w:tc>
      </w:tr>
      <w:tr w:rsidR="00DC54EA" w:rsidRPr="009A13E9" w14:paraId="0CA8342D" w14:textId="77777777">
        <w:tc>
          <w:tcPr>
            <w:tcW w:w="10440" w:type="dxa"/>
            <w:tcBorders>
              <w:left w:val="single" w:sz="12" w:space="0" w:color="auto"/>
              <w:right w:val="single" w:sz="12" w:space="0" w:color="auto"/>
            </w:tcBorders>
          </w:tcPr>
          <w:p w14:paraId="1A8C1FAF" w14:textId="77777777" w:rsidR="00DC54EA" w:rsidRPr="009A13E9" w:rsidRDefault="00DC54EA">
            <w:pPr>
              <w:ind w:left="360" w:right="200"/>
              <w:jc w:val="both"/>
              <w:rPr>
                <w:rFonts w:ascii="New Century Schlbk" w:hAnsi="New Century Schlbk"/>
                <w:sz w:val="20"/>
              </w:rPr>
            </w:pPr>
            <w:r w:rsidRPr="007667C7">
              <w:rPr>
                <w:rFonts w:ascii="Arial" w:hAnsi="Arial"/>
                <w:sz w:val="20"/>
              </w:rPr>
              <w:t>Joinder of claims, see Wright &amp; Miller:  Civil § 1587.</w:t>
            </w:r>
          </w:p>
        </w:tc>
      </w:tr>
      <w:tr w:rsidR="00DC54EA" w:rsidRPr="009A13E9" w14:paraId="3D2FA011" w14:textId="77777777">
        <w:tc>
          <w:tcPr>
            <w:tcW w:w="10440" w:type="dxa"/>
            <w:tcBorders>
              <w:left w:val="single" w:sz="12" w:space="0" w:color="auto"/>
              <w:right w:val="single" w:sz="12" w:space="0" w:color="auto"/>
            </w:tcBorders>
          </w:tcPr>
          <w:p w14:paraId="2BE64D48" w14:textId="77777777" w:rsidR="00DC54EA" w:rsidRPr="009A13E9" w:rsidRDefault="00DC54EA">
            <w:pPr>
              <w:ind w:left="360" w:right="200"/>
              <w:jc w:val="both"/>
              <w:rPr>
                <w:rFonts w:ascii="New Century Schlbk" w:hAnsi="New Century Schlbk"/>
                <w:sz w:val="16"/>
              </w:rPr>
            </w:pPr>
          </w:p>
        </w:tc>
      </w:tr>
      <w:tr w:rsidR="00DC54EA" w:rsidRPr="009A13E9" w14:paraId="4DA7099B" w14:textId="77777777">
        <w:tc>
          <w:tcPr>
            <w:tcW w:w="10440" w:type="dxa"/>
            <w:tcBorders>
              <w:left w:val="single" w:sz="12" w:space="0" w:color="auto"/>
              <w:right w:val="single" w:sz="12" w:space="0" w:color="auto"/>
            </w:tcBorders>
          </w:tcPr>
          <w:p w14:paraId="671C8F01"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9A13E9" w14:paraId="53809202" w14:textId="77777777">
        <w:tc>
          <w:tcPr>
            <w:tcW w:w="10440" w:type="dxa"/>
            <w:tcBorders>
              <w:left w:val="single" w:sz="12" w:space="0" w:color="auto"/>
              <w:right w:val="single" w:sz="12" w:space="0" w:color="auto"/>
            </w:tcBorders>
          </w:tcPr>
          <w:p w14:paraId="1C285CE6" w14:textId="77777777" w:rsidR="00DC54EA" w:rsidRPr="009A13E9" w:rsidRDefault="00DC54EA">
            <w:pPr>
              <w:ind w:left="360" w:right="200"/>
              <w:jc w:val="both"/>
              <w:rPr>
                <w:rFonts w:ascii="New Century Schlbk" w:hAnsi="New Century Schlbk"/>
                <w:sz w:val="16"/>
              </w:rPr>
            </w:pPr>
          </w:p>
        </w:tc>
      </w:tr>
      <w:tr w:rsidR="00DC54EA" w:rsidRPr="007667C7" w14:paraId="4FD6537B" w14:textId="77777777">
        <w:tc>
          <w:tcPr>
            <w:tcW w:w="10440" w:type="dxa"/>
            <w:tcBorders>
              <w:left w:val="single" w:sz="12" w:space="0" w:color="auto"/>
              <w:right w:val="single" w:sz="12" w:space="0" w:color="auto"/>
            </w:tcBorders>
          </w:tcPr>
          <w:p w14:paraId="066E483F" w14:textId="77777777" w:rsidR="00DC54EA" w:rsidRPr="009A13E9" w:rsidRDefault="00DC54EA">
            <w:pPr>
              <w:ind w:left="360" w:right="200"/>
              <w:jc w:val="both"/>
              <w:rPr>
                <w:rFonts w:ascii="New Century Schlbk" w:hAnsi="New Century Schlbk"/>
                <w:sz w:val="16"/>
              </w:rPr>
            </w:pPr>
          </w:p>
        </w:tc>
      </w:tr>
      <w:tr w:rsidR="00DC54EA" w:rsidRPr="009A13E9" w14:paraId="71FB7681" w14:textId="77777777">
        <w:tc>
          <w:tcPr>
            <w:tcW w:w="10440" w:type="dxa"/>
            <w:tcBorders>
              <w:left w:val="single" w:sz="12" w:space="0" w:color="auto"/>
              <w:right w:val="single" w:sz="12" w:space="0" w:color="auto"/>
            </w:tcBorders>
          </w:tcPr>
          <w:p w14:paraId="6C4D712B" w14:textId="77777777" w:rsidR="00DC54EA" w:rsidRPr="009A13E9" w:rsidRDefault="00DC54EA">
            <w:pPr>
              <w:ind w:left="360" w:right="200"/>
              <w:jc w:val="center"/>
              <w:rPr>
                <w:rFonts w:ascii="New Century Schlbk" w:hAnsi="New Century Schlbk"/>
                <w:sz w:val="20"/>
              </w:rPr>
            </w:pPr>
            <w:r w:rsidRPr="007667C7">
              <w:rPr>
                <w:rFonts w:ascii="Arial" w:hAnsi="Arial"/>
                <w:b/>
                <w:sz w:val="20"/>
              </w:rPr>
              <w:t>CODE OF FEDERAL REGULATIONS</w:t>
            </w:r>
          </w:p>
        </w:tc>
      </w:tr>
      <w:tr w:rsidR="00DC54EA" w:rsidRPr="009A13E9" w14:paraId="6ED1FDC0" w14:textId="77777777">
        <w:tc>
          <w:tcPr>
            <w:tcW w:w="10440" w:type="dxa"/>
            <w:tcBorders>
              <w:left w:val="single" w:sz="12" w:space="0" w:color="auto"/>
              <w:right w:val="single" w:sz="12" w:space="0" w:color="auto"/>
            </w:tcBorders>
          </w:tcPr>
          <w:p w14:paraId="56FE24AE" w14:textId="77777777" w:rsidR="00DC54EA" w:rsidRPr="009A13E9" w:rsidRDefault="00DC54EA">
            <w:pPr>
              <w:ind w:left="360" w:right="200"/>
              <w:jc w:val="both"/>
              <w:rPr>
                <w:rFonts w:ascii="New Century Schlbk" w:hAnsi="New Century Schlbk"/>
                <w:sz w:val="16"/>
              </w:rPr>
            </w:pPr>
          </w:p>
        </w:tc>
      </w:tr>
      <w:tr w:rsidR="00DC54EA" w:rsidRPr="009A13E9" w14:paraId="7916C60A" w14:textId="77777777">
        <w:tc>
          <w:tcPr>
            <w:tcW w:w="10440" w:type="dxa"/>
            <w:tcBorders>
              <w:left w:val="single" w:sz="12" w:space="0" w:color="auto"/>
              <w:right w:val="single" w:sz="12" w:space="0" w:color="auto"/>
            </w:tcBorders>
          </w:tcPr>
          <w:p w14:paraId="0900A717" w14:textId="77777777" w:rsidR="00DC54EA" w:rsidRPr="009A13E9" w:rsidRDefault="00DC54EA">
            <w:pPr>
              <w:ind w:left="360" w:right="200"/>
              <w:jc w:val="both"/>
              <w:rPr>
                <w:rFonts w:ascii="New Century Schlbk" w:hAnsi="New Century Schlbk"/>
                <w:sz w:val="20"/>
              </w:rPr>
            </w:pPr>
            <w:r w:rsidRPr="007667C7">
              <w:rPr>
                <w:rFonts w:ascii="Arial" w:hAnsi="Arial"/>
                <w:sz w:val="20"/>
              </w:rPr>
              <w:t>1973 Main Volume Code of Federal Regulations</w:t>
            </w:r>
          </w:p>
        </w:tc>
      </w:tr>
      <w:tr w:rsidR="00DC54EA" w:rsidRPr="009A13E9" w14:paraId="313B3502" w14:textId="77777777">
        <w:tc>
          <w:tcPr>
            <w:tcW w:w="10440" w:type="dxa"/>
            <w:tcBorders>
              <w:left w:val="single" w:sz="12" w:space="0" w:color="auto"/>
              <w:right w:val="single" w:sz="12" w:space="0" w:color="auto"/>
            </w:tcBorders>
          </w:tcPr>
          <w:p w14:paraId="79B85FAC" w14:textId="77777777" w:rsidR="00DC54EA" w:rsidRPr="009A13E9" w:rsidRDefault="00DC54EA">
            <w:pPr>
              <w:ind w:left="360" w:right="200"/>
              <w:jc w:val="both"/>
              <w:rPr>
                <w:rFonts w:ascii="New Century Schlbk" w:hAnsi="New Century Schlbk"/>
                <w:sz w:val="16"/>
              </w:rPr>
            </w:pPr>
          </w:p>
        </w:tc>
      </w:tr>
      <w:tr w:rsidR="00DC54EA" w:rsidRPr="009A13E9" w14:paraId="49310E1C" w14:textId="77777777">
        <w:tc>
          <w:tcPr>
            <w:tcW w:w="10440" w:type="dxa"/>
            <w:tcBorders>
              <w:left w:val="single" w:sz="12" w:space="0" w:color="auto"/>
              <w:right w:val="single" w:sz="12" w:space="0" w:color="auto"/>
            </w:tcBorders>
          </w:tcPr>
          <w:p w14:paraId="476D5A61" w14:textId="77777777" w:rsidR="00DC54EA" w:rsidRPr="009A13E9" w:rsidRDefault="00DC54EA">
            <w:pPr>
              <w:ind w:left="360" w:right="200"/>
              <w:jc w:val="both"/>
              <w:rPr>
                <w:rFonts w:ascii="New Century Schlbk" w:hAnsi="New Century Schlbk"/>
                <w:sz w:val="20"/>
              </w:rPr>
            </w:pPr>
            <w:r w:rsidRPr="007667C7">
              <w:rPr>
                <w:rFonts w:ascii="Arial" w:hAnsi="Arial"/>
                <w:sz w:val="20"/>
              </w:rPr>
              <w:t>Advisory opinions and rulings of particular trade practices, see 16 CFR 15.1 et seq.</w:t>
            </w:r>
          </w:p>
        </w:tc>
      </w:tr>
      <w:tr w:rsidR="00DC54EA" w:rsidRPr="009A13E9" w14:paraId="184565BF" w14:textId="77777777">
        <w:tc>
          <w:tcPr>
            <w:tcW w:w="10440" w:type="dxa"/>
            <w:tcBorders>
              <w:left w:val="single" w:sz="12" w:space="0" w:color="auto"/>
              <w:right w:val="single" w:sz="12" w:space="0" w:color="auto"/>
            </w:tcBorders>
          </w:tcPr>
          <w:p w14:paraId="79F71DF6" w14:textId="77777777" w:rsidR="00DC54EA" w:rsidRPr="009A13E9" w:rsidRDefault="00DC54EA">
            <w:pPr>
              <w:ind w:left="360" w:right="200"/>
              <w:jc w:val="both"/>
              <w:rPr>
                <w:rFonts w:ascii="New Century Schlbk" w:hAnsi="New Century Schlbk"/>
                <w:sz w:val="16"/>
              </w:rPr>
            </w:pPr>
          </w:p>
        </w:tc>
      </w:tr>
      <w:tr w:rsidR="00DC54EA" w:rsidRPr="009A13E9" w14:paraId="44F352B6" w14:textId="77777777">
        <w:tc>
          <w:tcPr>
            <w:tcW w:w="10440" w:type="dxa"/>
            <w:tcBorders>
              <w:left w:val="single" w:sz="12" w:space="0" w:color="auto"/>
              <w:right w:val="single" w:sz="12" w:space="0" w:color="auto"/>
            </w:tcBorders>
          </w:tcPr>
          <w:p w14:paraId="395D2222" w14:textId="77777777" w:rsidR="00DC54EA" w:rsidRPr="009A13E9" w:rsidRDefault="00DC54EA">
            <w:pPr>
              <w:ind w:left="360" w:right="200"/>
              <w:jc w:val="both"/>
              <w:rPr>
                <w:rFonts w:ascii="New Century Schlbk" w:hAnsi="New Century Schlbk"/>
                <w:sz w:val="20"/>
              </w:rPr>
            </w:pPr>
            <w:r w:rsidRPr="007667C7">
              <w:rPr>
                <w:rFonts w:ascii="Arial" w:hAnsi="Arial"/>
                <w:sz w:val="20"/>
              </w:rPr>
              <w:t>Common sales agency, see 16 CFR 15.46.</w:t>
            </w:r>
          </w:p>
        </w:tc>
      </w:tr>
      <w:tr w:rsidR="00DC54EA" w:rsidRPr="009A13E9" w14:paraId="5F9888D5" w14:textId="77777777">
        <w:tc>
          <w:tcPr>
            <w:tcW w:w="10440" w:type="dxa"/>
            <w:tcBorders>
              <w:left w:val="single" w:sz="12" w:space="0" w:color="auto"/>
              <w:right w:val="single" w:sz="12" w:space="0" w:color="auto"/>
            </w:tcBorders>
          </w:tcPr>
          <w:p w14:paraId="45B8DA39" w14:textId="77777777" w:rsidR="00DC54EA" w:rsidRPr="009A13E9" w:rsidRDefault="00DC54EA">
            <w:pPr>
              <w:ind w:left="360" w:right="200"/>
              <w:jc w:val="both"/>
              <w:rPr>
                <w:rFonts w:ascii="New Century Schlbk" w:hAnsi="New Century Schlbk"/>
                <w:sz w:val="16"/>
              </w:rPr>
            </w:pPr>
          </w:p>
        </w:tc>
      </w:tr>
      <w:tr w:rsidR="00DC54EA" w:rsidRPr="009A13E9" w14:paraId="45E66ACE" w14:textId="77777777">
        <w:tc>
          <w:tcPr>
            <w:tcW w:w="10440" w:type="dxa"/>
            <w:tcBorders>
              <w:left w:val="single" w:sz="12" w:space="0" w:color="auto"/>
              <w:right w:val="single" w:sz="12" w:space="0" w:color="auto"/>
            </w:tcBorders>
          </w:tcPr>
          <w:p w14:paraId="79C64232" w14:textId="77777777" w:rsidR="00DC54EA" w:rsidRPr="009A13E9" w:rsidRDefault="00DC54EA">
            <w:pPr>
              <w:ind w:left="360" w:right="200"/>
              <w:jc w:val="both"/>
              <w:rPr>
                <w:rFonts w:ascii="New Century Schlbk" w:hAnsi="New Century Schlbk"/>
                <w:sz w:val="20"/>
              </w:rPr>
            </w:pPr>
            <w:r w:rsidRPr="007667C7">
              <w:rPr>
                <w:rFonts w:ascii="Arial" w:hAnsi="Arial"/>
                <w:sz w:val="20"/>
              </w:rPr>
              <w:t>Compliance with state milk marketing orders, see 16 CFR 15.154.</w:t>
            </w:r>
          </w:p>
        </w:tc>
      </w:tr>
      <w:tr w:rsidR="00DC54EA" w:rsidRPr="009A13E9" w14:paraId="0B055637" w14:textId="77777777">
        <w:tc>
          <w:tcPr>
            <w:tcW w:w="10440" w:type="dxa"/>
            <w:tcBorders>
              <w:left w:val="single" w:sz="12" w:space="0" w:color="auto"/>
              <w:right w:val="single" w:sz="12" w:space="0" w:color="auto"/>
            </w:tcBorders>
          </w:tcPr>
          <w:p w14:paraId="339C3761" w14:textId="77777777" w:rsidR="00DC54EA" w:rsidRPr="009A13E9" w:rsidRDefault="00DC54EA">
            <w:pPr>
              <w:ind w:left="360" w:right="200"/>
              <w:jc w:val="both"/>
              <w:rPr>
                <w:rFonts w:ascii="New Century Schlbk" w:hAnsi="New Century Schlbk"/>
                <w:sz w:val="16"/>
              </w:rPr>
            </w:pPr>
          </w:p>
        </w:tc>
      </w:tr>
      <w:tr w:rsidR="00DC54EA" w:rsidRPr="009A13E9" w14:paraId="4D8AC00F" w14:textId="77777777">
        <w:tc>
          <w:tcPr>
            <w:tcW w:w="10440" w:type="dxa"/>
            <w:tcBorders>
              <w:left w:val="single" w:sz="12" w:space="0" w:color="auto"/>
              <w:right w:val="single" w:sz="12" w:space="0" w:color="auto"/>
            </w:tcBorders>
          </w:tcPr>
          <w:p w14:paraId="66C92484"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Guides and trade practice rules for particular industries, see 16 CFR </w:t>
            </w:r>
            <w:proofErr w:type="spellStart"/>
            <w:r w:rsidRPr="007667C7">
              <w:rPr>
                <w:rFonts w:ascii="Arial" w:hAnsi="Arial"/>
                <w:sz w:val="20"/>
              </w:rPr>
              <w:t>subd</w:t>
            </w:r>
            <w:proofErr w:type="spellEnd"/>
            <w:r w:rsidRPr="007667C7">
              <w:rPr>
                <w:rFonts w:ascii="Arial" w:hAnsi="Arial"/>
                <w:sz w:val="20"/>
              </w:rPr>
              <w:t>. B, parts 17 to 254.</w:t>
            </w:r>
          </w:p>
        </w:tc>
      </w:tr>
      <w:tr w:rsidR="00DC54EA" w:rsidRPr="009A13E9" w14:paraId="3D17D348" w14:textId="77777777">
        <w:tc>
          <w:tcPr>
            <w:tcW w:w="10440" w:type="dxa"/>
            <w:tcBorders>
              <w:left w:val="single" w:sz="12" w:space="0" w:color="auto"/>
              <w:right w:val="single" w:sz="12" w:space="0" w:color="auto"/>
            </w:tcBorders>
          </w:tcPr>
          <w:p w14:paraId="5EF6CCB3" w14:textId="77777777" w:rsidR="00DC54EA" w:rsidRPr="009A13E9" w:rsidRDefault="00DC54EA">
            <w:pPr>
              <w:ind w:left="360" w:right="200"/>
              <w:jc w:val="both"/>
              <w:rPr>
                <w:rFonts w:ascii="New Century Schlbk" w:hAnsi="New Century Schlbk"/>
                <w:sz w:val="16"/>
              </w:rPr>
            </w:pPr>
          </w:p>
        </w:tc>
      </w:tr>
      <w:tr w:rsidR="00DC54EA" w:rsidRPr="007667C7" w14:paraId="70AAA7FA" w14:textId="77777777">
        <w:tc>
          <w:tcPr>
            <w:tcW w:w="10440" w:type="dxa"/>
            <w:tcBorders>
              <w:left w:val="single" w:sz="12" w:space="0" w:color="auto"/>
              <w:right w:val="single" w:sz="12" w:space="0" w:color="auto"/>
            </w:tcBorders>
          </w:tcPr>
          <w:p w14:paraId="56114C58" w14:textId="77777777" w:rsidR="00DC54EA" w:rsidRPr="009A13E9" w:rsidRDefault="00DC54EA">
            <w:pPr>
              <w:ind w:left="360" w:right="200"/>
              <w:jc w:val="both"/>
              <w:rPr>
                <w:rFonts w:ascii="New Century Schlbk" w:hAnsi="New Century Schlbk"/>
                <w:sz w:val="16"/>
              </w:rPr>
            </w:pPr>
          </w:p>
        </w:tc>
      </w:tr>
      <w:tr w:rsidR="00DC54EA" w:rsidRPr="009A13E9" w14:paraId="06A58E4F" w14:textId="77777777">
        <w:tc>
          <w:tcPr>
            <w:tcW w:w="10440" w:type="dxa"/>
            <w:tcBorders>
              <w:left w:val="single" w:sz="12" w:space="0" w:color="auto"/>
              <w:right w:val="single" w:sz="12" w:space="0" w:color="auto"/>
            </w:tcBorders>
          </w:tcPr>
          <w:p w14:paraId="5DFB241E" w14:textId="77777777" w:rsidR="00DC54EA" w:rsidRPr="009A13E9" w:rsidRDefault="00DC54EA">
            <w:pPr>
              <w:ind w:left="360" w:right="200"/>
              <w:jc w:val="center"/>
              <w:rPr>
                <w:rFonts w:ascii="New Century Schlbk" w:hAnsi="New Century Schlbk"/>
                <w:sz w:val="20"/>
              </w:rPr>
            </w:pPr>
            <w:r w:rsidRPr="007667C7">
              <w:rPr>
                <w:rFonts w:ascii="Arial" w:hAnsi="Arial"/>
                <w:b/>
                <w:sz w:val="20"/>
              </w:rPr>
              <w:t>LAW REVIEW COMMENTARIES</w:t>
            </w:r>
          </w:p>
        </w:tc>
      </w:tr>
      <w:tr w:rsidR="00DC54EA" w:rsidRPr="009A13E9" w14:paraId="7C3AC548" w14:textId="77777777">
        <w:tc>
          <w:tcPr>
            <w:tcW w:w="10440" w:type="dxa"/>
            <w:tcBorders>
              <w:left w:val="single" w:sz="12" w:space="0" w:color="auto"/>
              <w:right w:val="single" w:sz="12" w:space="0" w:color="auto"/>
            </w:tcBorders>
          </w:tcPr>
          <w:p w14:paraId="18512666" w14:textId="77777777" w:rsidR="00DC54EA" w:rsidRPr="009A13E9" w:rsidRDefault="00DC54EA">
            <w:pPr>
              <w:ind w:left="360" w:right="200"/>
              <w:jc w:val="both"/>
              <w:rPr>
                <w:rFonts w:ascii="New Century Schlbk" w:hAnsi="New Century Schlbk"/>
                <w:sz w:val="20"/>
              </w:rPr>
            </w:pPr>
          </w:p>
        </w:tc>
      </w:tr>
      <w:tr w:rsidR="00DC54EA" w:rsidRPr="009A13E9" w14:paraId="63BB054F" w14:textId="77777777">
        <w:tc>
          <w:tcPr>
            <w:tcW w:w="10440" w:type="dxa"/>
            <w:tcBorders>
              <w:left w:val="single" w:sz="12" w:space="0" w:color="auto"/>
              <w:right w:val="single" w:sz="12" w:space="0" w:color="auto"/>
            </w:tcBorders>
          </w:tcPr>
          <w:p w14:paraId="75AF5E21"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Abolishing the act of state doctrine.  Michael J. </w:t>
            </w:r>
            <w:proofErr w:type="spellStart"/>
            <w:r w:rsidRPr="007667C7">
              <w:rPr>
                <w:rFonts w:ascii="Arial" w:hAnsi="Arial"/>
                <w:sz w:val="20"/>
              </w:rPr>
              <w:t>Bazyler</w:t>
            </w:r>
            <w:proofErr w:type="spellEnd"/>
            <w:r w:rsidRPr="007667C7">
              <w:rPr>
                <w:rFonts w:ascii="Arial" w:hAnsi="Arial"/>
                <w:sz w:val="20"/>
              </w:rPr>
              <w:t xml:space="preserve">, 134 </w:t>
            </w:r>
            <w:proofErr w:type="spellStart"/>
            <w:r w:rsidRPr="007667C7">
              <w:rPr>
                <w:rFonts w:ascii="Arial" w:hAnsi="Arial"/>
                <w:sz w:val="20"/>
              </w:rPr>
              <w:t>U.Pa.L.Rev</w:t>
            </w:r>
            <w:proofErr w:type="spellEnd"/>
            <w:r w:rsidRPr="007667C7">
              <w:rPr>
                <w:rFonts w:ascii="Arial" w:hAnsi="Arial"/>
                <w:sz w:val="20"/>
              </w:rPr>
              <w:t>. 325 (1986).</w:t>
            </w:r>
          </w:p>
        </w:tc>
      </w:tr>
      <w:tr w:rsidR="00DC54EA" w:rsidRPr="009A13E9" w14:paraId="38D85BC5" w14:textId="77777777">
        <w:tc>
          <w:tcPr>
            <w:tcW w:w="10440" w:type="dxa"/>
            <w:tcBorders>
              <w:left w:val="single" w:sz="12" w:space="0" w:color="auto"/>
              <w:right w:val="single" w:sz="12" w:space="0" w:color="auto"/>
            </w:tcBorders>
          </w:tcPr>
          <w:p w14:paraId="18C78224" w14:textId="77777777" w:rsidR="00DC54EA" w:rsidRPr="009A13E9" w:rsidRDefault="00DC54EA">
            <w:pPr>
              <w:ind w:left="360" w:right="200"/>
              <w:jc w:val="both"/>
              <w:rPr>
                <w:rFonts w:ascii="New Century Schlbk" w:hAnsi="New Century Schlbk"/>
                <w:sz w:val="20"/>
              </w:rPr>
            </w:pPr>
          </w:p>
        </w:tc>
      </w:tr>
      <w:tr w:rsidR="00DC54EA" w:rsidRPr="009A13E9" w14:paraId="066714EC" w14:textId="77777777">
        <w:tc>
          <w:tcPr>
            <w:tcW w:w="10440" w:type="dxa"/>
            <w:tcBorders>
              <w:left w:val="single" w:sz="12" w:space="0" w:color="auto"/>
              <w:right w:val="single" w:sz="12" w:space="0" w:color="auto"/>
            </w:tcBorders>
          </w:tcPr>
          <w:p w14:paraId="5F457359" w14:textId="77777777" w:rsidR="00DC54EA" w:rsidRPr="009A13E9" w:rsidRDefault="00DC54EA">
            <w:pPr>
              <w:ind w:left="360" w:right="200"/>
              <w:jc w:val="both"/>
              <w:rPr>
                <w:rFonts w:ascii="New Century Schlbk" w:hAnsi="New Century Schlbk"/>
                <w:sz w:val="20"/>
              </w:rPr>
            </w:pPr>
            <w:r w:rsidRPr="007667C7">
              <w:rPr>
                <w:rFonts w:ascii="Arial" w:hAnsi="Arial"/>
                <w:sz w:val="20"/>
              </w:rPr>
              <w:t>Affecting commerce test:  The aftermath of McLain.  Richard A. Mann, 24</w:t>
            </w:r>
          </w:p>
        </w:tc>
      </w:tr>
      <w:tr w:rsidR="00DC54EA" w:rsidRPr="009A13E9" w14:paraId="2A2E5104" w14:textId="77777777">
        <w:tc>
          <w:tcPr>
            <w:tcW w:w="10440" w:type="dxa"/>
            <w:tcBorders>
              <w:left w:val="single" w:sz="12" w:space="0" w:color="auto"/>
              <w:right w:val="single" w:sz="12" w:space="0" w:color="auto"/>
            </w:tcBorders>
          </w:tcPr>
          <w:p w14:paraId="3B9A5150" w14:textId="77777777" w:rsidR="00DC54EA" w:rsidRPr="009A13E9" w:rsidRDefault="00DC54EA">
            <w:pPr>
              <w:ind w:left="360" w:right="200"/>
              <w:jc w:val="both"/>
              <w:rPr>
                <w:rFonts w:ascii="New Century Schlbk" w:hAnsi="New Century Schlbk"/>
                <w:sz w:val="16"/>
              </w:rPr>
            </w:pPr>
          </w:p>
        </w:tc>
      </w:tr>
      <w:tr w:rsidR="00DC54EA" w:rsidRPr="009A13E9" w14:paraId="2AC4CB1D" w14:textId="77777777">
        <w:tc>
          <w:tcPr>
            <w:tcW w:w="10440" w:type="dxa"/>
            <w:tcBorders>
              <w:left w:val="single" w:sz="12" w:space="0" w:color="auto"/>
              <w:right w:val="single" w:sz="12" w:space="0" w:color="auto"/>
            </w:tcBorders>
          </w:tcPr>
          <w:p w14:paraId="4DE6CFF5" w14:textId="77777777" w:rsidR="00DC54EA" w:rsidRPr="009A13E9" w:rsidRDefault="00DC54EA">
            <w:pPr>
              <w:ind w:left="360" w:right="200"/>
              <w:jc w:val="both"/>
              <w:rPr>
                <w:rFonts w:ascii="New Century Schlbk" w:hAnsi="New Century Schlbk"/>
                <w:sz w:val="20"/>
              </w:rPr>
            </w:pPr>
            <w:r w:rsidRPr="007667C7">
              <w:rPr>
                <w:rFonts w:ascii="Arial" w:hAnsi="Arial"/>
                <w:sz w:val="20"/>
              </w:rPr>
              <w:t>*  *  *  *</w:t>
            </w:r>
          </w:p>
        </w:tc>
      </w:tr>
      <w:tr w:rsidR="00DC54EA" w:rsidRPr="007667C7" w14:paraId="4DBEE8DD" w14:textId="77777777">
        <w:tc>
          <w:tcPr>
            <w:tcW w:w="10440" w:type="dxa"/>
            <w:tcBorders>
              <w:left w:val="single" w:sz="12" w:space="0" w:color="auto"/>
              <w:right w:val="single" w:sz="12" w:space="0" w:color="auto"/>
            </w:tcBorders>
          </w:tcPr>
          <w:p w14:paraId="5AB0DA98" w14:textId="77777777" w:rsidR="00DC54EA" w:rsidRPr="009A13E9" w:rsidRDefault="00DC54EA">
            <w:pPr>
              <w:ind w:left="360" w:right="200"/>
              <w:jc w:val="both"/>
              <w:rPr>
                <w:rFonts w:ascii="New Century Schlbk" w:hAnsi="New Century Schlbk"/>
                <w:sz w:val="16"/>
              </w:rPr>
            </w:pPr>
          </w:p>
        </w:tc>
      </w:tr>
      <w:tr w:rsidR="00DC54EA" w:rsidRPr="009A13E9" w14:paraId="5FB5B4D5" w14:textId="77777777">
        <w:tc>
          <w:tcPr>
            <w:tcW w:w="10440" w:type="dxa"/>
            <w:tcBorders>
              <w:left w:val="single" w:sz="12" w:space="0" w:color="auto"/>
              <w:right w:val="single" w:sz="12" w:space="0" w:color="auto"/>
            </w:tcBorders>
          </w:tcPr>
          <w:p w14:paraId="2FF8327D" w14:textId="77777777" w:rsidR="00DC54EA" w:rsidRPr="009A13E9" w:rsidRDefault="00DC54EA">
            <w:pPr>
              <w:ind w:left="360" w:right="200"/>
              <w:jc w:val="center"/>
              <w:rPr>
                <w:rFonts w:ascii="New Century Schlbk" w:hAnsi="New Century Schlbk"/>
                <w:sz w:val="20"/>
              </w:rPr>
            </w:pPr>
            <w:r w:rsidRPr="007667C7">
              <w:rPr>
                <w:rFonts w:ascii="Arial" w:hAnsi="Arial"/>
                <w:b/>
                <w:sz w:val="20"/>
              </w:rPr>
              <w:t>ANNOTATIONS</w:t>
            </w:r>
          </w:p>
        </w:tc>
      </w:tr>
      <w:tr w:rsidR="00DC54EA" w:rsidRPr="009A13E9" w14:paraId="3A3E7753" w14:textId="77777777">
        <w:tc>
          <w:tcPr>
            <w:tcW w:w="10440" w:type="dxa"/>
            <w:tcBorders>
              <w:left w:val="single" w:sz="12" w:space="0" w:color="auto"/>
              <w:right w:val="single" w:sz="12" w:space="0" w:color="auto"/>
            </w:tcBorders>
          </w:tcPr>
          <w:p w14:paraId="58E73DE6" w14:textId="77777777" w:rsidR="00DC54EA" w:rsidRPr="009A13E9" w:rsidRDefault="00DC54EA">
            <w:pPr>
              <w:ind w:left="360" w:right="200"/>
              <w:jc w:val="both"/>
              <w:rPr>
                <w:rFonts w:ascii="New Century Schlbk" w:hAnsi="New Century Schlbk"/>
                <w:sz w:val="20"/>
              </w:rPr>
            </w:pPr>
          </w:p>
        </w:tc>
      </w:tr>
      <w:tr w:rsidR="00DC54EA" w:rsidRPr="009A13E9" w14:paraId="525341A8" w14:textId="77777777">
        <w:tc>
          <w:tcPr>
            <w:tcW w:w="10440" w:type="dxa"/>
            <w:tcBorders>
              <w:left w:val="single" w:sz="12" w:space="0" w:color="auto"/>
              <w:right w:val="single" w:sz="12" w:space="0" w:color="auto"/>
            </w:tcBorders>
          </w:tcPr>
          <w:p w14:paraId="09746BAB" w14:textId="77777777" w:rsidR="00DC54EA" w:rsidRPr="009A13E9" w:rsidRDefault="00DC54EA">
            <w:pPr>
              <w:ind w:left="360" w:right="200"/>
              <w:jc w:val="both"/>
              <w:rPr>
                <w:rFonts w:ascii="New Century Schlbk" w:hAnsi="New Century Schlbk"/>
                <w:sz w:val="20"/>
              </w:rPr>
            </w:pPr>
            <w:r w:rsidRPr="007667C7">
              <w:rPr>
                <w:rFonts w:ascii="Arial" w:hAnsi="Arial"/>
                <w:sz w:val="20"/>
              </w:rPr>
              <w:t>1. Common law</w:t>
            </w:r>
          </w:p>
        </w:tc>
      </w:tr>
      <w:tr w:rsidR="00DC54EA" w:rsidRPr="009A13E9" w14:paraId="37F26007" w14:textId="77777777">
        <w:tc>
          <w:tcPr>
            <w:tcW w:w="10440" w:type="dxa"/>
            <w:tcBorders>
              <w:left w:val="single" w:sz="12" w:space="0" w:color="auto"/>
              <w:right w:val="single" w:sz="12" w:space="0" w:color="auto"/>
            </w:tcBorders>
          </w:tcPr>
          <w:p w14:paraId="5F0AAF42" w14:textId="77777777" w:rsidR="00DC54EA" w:rsidRPr="009A13E9" w:rsidRDefault="00DC54EA">
            <w:pPr>
              <w:ind w:left="360" w:right="200"/>
              <w:jc w:val="both"/>
              <w:rPr>
                <w:rFonts w:ascii="New Century Schlbk" w:hAnsi="New Century Schlbk"/>
                <w:sz w:val="20"/>
              </w:rPr>
            </w:pPr>
          </w:p>
        </w:tc>
      </w:tr>
      <w:tr w:rsidR="00DC54EA" w:rsidRPr="009A13E9" w14:paraId="7B8545C6" w14:textId="77777777">
        <w:tc>
          <w:tcPr>
            <w:tcW w:w="10440" w:type="dxa"/>
            <w:tcBorders>
              <w:left w:val="single" w:sz="12" w:space="0" w:color="auto"/>
              <w:right w:val="single" w:sz="12" w:space="0" w:color="auto"/>
            </w:tcBorders>
          </w:tcPr>
          <w:p w14:paraId="685AB958" w14:textId="77777777" w:rsidR="00DC54EA" w:rsidRPr="009A13E9" w:rsidRDefault="00DC54EA">
            <w:pPr>
              <w:ind w:left="360" w:right="200"/>
              <w:jc w:val="both"/>
              <w:rPr>
                <w:rFonts w:ascii="New Century Schlbk" w:hAnsi="New Century Schlbk"/>
                <w:sz w:val="20"/>
              </w:rPr>
            </w:pPr>
            <w:r w:rsidRPr="007667C7">
              <w:rPr>
                <w:rFonts w:ascii="Arial" w:hAnsi="Arial"/>
                <w:sz w:val="20"/>
              </w:rPr>
              <w:t>Congress did not intend text of sections 1 to 7 of this title to delineate their full meaning or their appli</w:t>
            </w:r>
            <w:r w:rsidRPr="007667C7">
              <w:rPr>
                <w:rFonts w:ascii="Arial" w:hAnsi="Arial"/>
                <w:sz w:val="20"/>
              </w:rPr>
              <w:softHyphen/>
              <w:t>cation in concrete situations, but, rather, Congress expected courts to give shape to their broad man</w:t>
            </w:r>
            <w:r w:rsidRPr="007667C7">
              <w:rPr>
                <w:rFonts w:ascii="Arial" w:hAnsi="Arial"/>
                <w:sz w:val="20"/>
              </w:rPr>
              <w:softHyphen/>
              <w:t>date by drawing on common-law tradition.  National Society of Professional Engineers v. U.S., U.S.Dist.Col.1978, 98 S.Ct. 1355, 435 U.S. 679, 55 L.Ed.2d 637.</w:t>
            </w:r>
          </w:p>
        </w:tc>
      </w:tr>
      <w:tr w:rsidR="00DC54EA" w:rsidRPr="009A13E9" w14:paraId="27D7284F" w14:textId="77777777">
        <w:tc>
          <w:tcPr>
            <w:tcW w:w="10440" w:type="dxa"/>
            <w:tcBorders>
              <w:left w:val="single" w:sz="12" w:space="0" w:color="auto"/>
              <w:right w:val="single" w:sz="12" w:space="0" w:color="auto"/>
            </w:tcBorders>
          </w:tcPr>
          <w:p w14:paraId="42D2B0D8" w14:textId="77777777" w:rsidR="00DC54EA" w:rsidRPr="009A13E9" w:rsidRDefault="00DC54EA">
            <w:pPr>
              <w:ind w:left="360" w:right="200"/>
              <w:jc w:val="both"/>
              <w:rPr>
                <w:rFonts w:ascii="New Century Schlbk" w:hAnsi="New Century Schlbk"/>
                <w:sz w:val="20"/>
              </w:rPr>
            </w:pPr>
          </w:p>
        </w:tc>
      </w:tr>
      <w:tr w:rsidR="00DC54EA" w:rsidRPr="009A13E9" w14:paraId="147685E7" w14:textId="77777777">
        <w:tc>
          <w:tcPr>
            <w:tcW w:w="10440" w:type="dxa"/>
            <w:tcBorders>
              <w:left w:val="single" w:sz="12" w:space="0" w:color="auto"/>
              <w:right w:val="single" w:sz="12" w:space="0" w:color="auto"/>
            </w:tcBorders>
          </w:tcPr>
          <w:p w14:paraId="04323060"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This section has a broader application to price fixing agreements than the common law prohibitions or sanctions.  U.S. v. </w:t>
            </w:r>
            <w:proofErr w:type="spellStart"/>
            <w:r w:rsidRPr="007667C7">
              <w:rPr>
                <w:rFonts w:ascii="Arial" w:hAnsi="Arial"/>
                <w:sz w:val="20"/>
              </w:rPr>
              <w:t>Socony</w:t>
            </w:r>
            <w:proofErr w:type="spellEnd"/>
            <w:r w:rsidRPr="007667C7">
              <w:rPr>
                <w:rFonts w:ascii="Arial" w:hAnsi="Arial"/>
                <w:sz w:val="20"/>
              </w:rPr>
              <w:t>-Vacuum Oil Co., Wis.1940, 60 S.Ct. 811, 310 U.S. 150, 84 L.Ed. 1129, re</w:t>
            </w:r>
            <w:r w:rsidRPr="007667C7">
              <w:rPr>
                <w:rFonts w:ascii="Arial" w:hAnsi="Arial"/>
                <w:sz w:val="20"/>
              </w:rPr>
              <w:softHyphen/>
              <w:t>hear</w:t>
            </w:r>
            <w:r w:rsidRPr="007667C7">
              <w:rPr>
                <w:rFonts w:ascii="Arial" w:hAnsi="Arial"/>
                <w:sz w:val="20"/>
              </w:rPr>
              <w:softHyphen/>
              <w:t>ing denied 60 S.Ct. 1091, 310 U.S. 658, 84 L.Ed. 1421.</w:t>
            </w:r>
          </w:p>
        </w:tc>
      </w:tr>
      <w:tr w:rsidR="00DC54EA" w:rsidRPr="009A13E9" w14:paraId="51940031" w14:textId="77777777">
        <w:tc>
          <w:tcPr>
            <w:tcW w:w="10440" w:type="dxa"/>
            <w:tcBorders>
              <w:left w:val="single" w:sz="12" w:space="0" w:color="auto"/>
              <w:right w:val="single" w:sz="12" w:space="0" w:color="auto"/>
            </w:tcBorders>
          </w:tcPr>
          <w:p w14:paraId="21FBBD25" w14:textId="77777777" w:rsidR="00DC54EA" w:rsidRPr="009A13E9" w:rsidRDefault="00DC54EA">
            <w:pPr>
              <w:ind w:left="360" w:right="200"/>
              <w:jc w:val="both"/>
              <w:rPr>
                <w:rFonts w:ascii="New Century Schlbk" w:hAnsi="New Century Schlbk"/>
                <w:sz w:val="20"/>
              </w:rPr>
            </w:pPr>
          </w:p>
        </w:tc>
      </w:tr>
      <w:tr w:rsidR="00DC54EA" w:rsidRPr="009A13E9" w14:paraId="45A127F6" w14:textId="77777777">
        <w:tc>
          <w:tcPr>
            <w:tcW w:w="10440" w:type="dxa"/>
            <w:tcBorders>
              <w:left w:val="single" w:sz="12" w:space="0" w:color="auto"/>
              <w:right w:val="single" w:sz="12" w:space="0" w:color="auto"/>
            </w:tcBorders>
          </w:tcPr>
          <w:p w14:paraId="35D84A24" w14:textId="77777777" w:rsidR="00DC54EA" w:rsidRPr="009A13E9" w:rsidRDefault="00DC54EA">
            <w:pPr>
              <w:ind w:left="360" w:right="200"/>
              <w:jc w:val="both"/>
              <w:rPr>
                <w:rFonts w:ascii="New Century Schlbk" w:hAnsi="New Century Schlbk"/>
                <w:sz w:val="20"/>
              </w:rPr>
            </w:pPr>
            <w:r w:rsidRPr="007667C7">
              <w:rPr>
                <w:rFonts w:ascii="Arial" w:hAnsi="Arial"/>
                <w:sz w:val="20"/>
              </w:rPr>
              <w:t>Effect of §§ 1 to 7 of this title was to make contracts in restraint of trade, void at common law, unlawful in positive sense and created civil action for damages in favor of injured party.  Denison Mattress Factory v. Spring-Air Co., C.A.Tex.1962, 308 F.2d 403.</w:t>
            </w:r>
          </w:p>
        </w:tc>
      </w:tr>
      <w:tr w:rsidR="00DC54EA" w:rsidRPr="009A13E9" w14:paraId="1AD4C61C" w14:textId="77777777">
        <w:tc>
          <w:tcPr>
            <w:tcW w:w="10440" w:type="dxa"/>
            <w:tcBorders>
              <w:left w:val="single" w:sz="12" w:space="0" w:color="auto"/>
              <w:right w:val="single" w:sz="12" w:space="0" w:color="auto"/>
            </w:tcBorders>
          </w:tcPr>
          <w:p w14:paraId="5286DCE3" w14:textId="77777777" w:rsidR="00DC54EA" w:rsidRPr="009A13E9" w:rsidRDefault="00DC54EA">
            <w:pPr>
              <w:ind w:left="360" w:right="200"/>
              <w:jc w:val="both"/>
              <w:rPr>
                <w:rFonts w:ascii="New Century Schlbk" w:hAnsi="New Century Schlbk"/>
                <w:sz w:val="20"/>
              </w:rPr>
            </w:pPr>
          </w:p>
        </w:tc>
      </w:tr>
      <w:tr w:rsidR="00DC54EA" w:rsidRPr="009A13E9" w14:paraId="570DD03D" w14:textId="77777777">
        <w:tc>
          <w:tcPr>
            <w:tcW w:w="10440" w:type="dxa"/>
            <w:tcBorders>
              <w:left w:val="single" w:sz="12" w:space="0" w:color="auto"/>
              <w:right w:val="single" w:sz="12" w:space="0" w:color="auto"/>
            </w:tcBorders>
          </w:tcPr>
          <w:p w14:paraId="6FC0EB3F" w14:textId="77777777" w:rsidR="00DC54EA" w:rsidRPr="009A13E9" w:rsidRDefault="00DC54EA">
            <w:pPr>
              <w:ind w:left="360" w:right="200"/>
              <w:jc w:val="both"/>
              <w:rPr>
                <w:rFonts w:ascii="New Century Schlbk" w:hAnsi="New Century Schlbk"/>
                <w:sz w:val="20"/>
              </w:rPr>
            </w:pPr>
            <w:r w:rsidRPr="007667C7">
              <w:rPr>
                <w:rFonts w:ascii="Arial" w:hAnsi="Arial"/>
                <w:sz w:val="20"/>
              </w:rPr>
              <w:t>Combinations in restraint of trade or tending to create or maintain monopoly gave rise to actions at common law.  Rogers v. Douglas Tobacco Bd. of Trade, Inc., C.A.Ga.1957, 244 F.2d 471.</w:t>
            </w:r>
          </w:p>
        </w:tc>
      </w:tr>
      <w:tr w:rsidR="00DC54EA" w:rsidRPr="009A13E9" w14:paraId="73069D95" w14:textId="77777777">
        <w:tc>
          <w:tcPr>
            <w:tcW w:w="10440" w:type="dxa"/>
            <w:tcBorders>
              <w:left w:val="single" w:sz="12" w:space="0" w:color="auto"/>
              <w:right w:val="single" w:sz="12" w:space="0" w:color="auto"/>
            </w:tcBorders>
          </w:tcPr>
          <w:p w14:paraId="47FA93D8" w14:textId="77777777" w:rsidR="00DC54EA" w:rsidRPr="009A13E9" w:rsidRDefault="00DC54EA">
            <w:pPr>
              <w:ind w:left="360" w:right="200"/>
              <w:jc w:val="both"/>
              <w:rPr>
                <w:rFonts w:ascii="New Century Schlbk" w:hAnsi="New Century Schlbk"/>
                <w:sz w:val="16"/>
              </w:rPr>
            </w:pPr>
          </w:p>
        </w:tc>
      </w:tr>
      <w:tr w:rsidR="00DC54EA" w:rsidRPr="009A13E9" w14:paraId="0842717F" w14:textId="77777777">
        <w:tc>
          <w:tcPr>
            <w:tcW w:w="10440" w:type="dxa"/>
            <w:tcBorders>
              <w:left w:val="single" w:sz="12" w:space="0" w:color="auto"/>
              <w:right w:val="single" w:sz="12" w:space="0" w:color="auto"/>
            </w:tcBorders>
          </w:tcPr>
          <w:p w14:paraId="5FD84E58"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Federal statutory law on monopolies did not supplant common law but incorporated it.  Mans v. Sunray DX Oil Co., D.C.Okl.1971, </w:t>
            </w:r>
            <w:proofErr w:type="gramStart"/>
            <w:r w:rsidRPr="007667C7">
              <w:rPr>
                <w:rFonts w:ascii="Arial" w:hAnsi="Arial"/>
                <w:sz w:val="20"/>
              </w:rPr>
              <w:t>352</w:t>
            </w:r>
            <w:proofErr w:type="gramEnd"/>
            <w:r w:rsidRPr="007667C7">
              <w:rPr>
                <w:rFonts w:ascii="Arial" w:hAnsi="Arial"/>
                <w:sz w:val="20"/>
              </w:rPr>
              <w:t xml:space="preserve"> </w:t>
            </w:r>
            <w:proofErr w:type="spellStart"/>
            <w:r w:rsidRPr="007667C7">
              <w:rPr>
                <w:rFonts w:ascii="Arial" w:hAnsi="Arial"/>
                <w:sz w:val="20"/>
              </w:rPr>
              <w:t>F.Supp</w:t>
            </w:r>
            <w:proofErr w:type="spellEnd"/>
            <w:r w:rsidRPr="007667C7">
              <w:rPr>
                <w:rFonts w:ascii="Arial" w:hAnsi="Arial"/>
                <w:sz w:val="20"/>
              </w:rPr>
              <w:t>. 1095.</w:t>
            </w:r>
          </w:p>
        </w:tc>
      </w:tr>
      <w:tr w:rsidR="00DC54EA" w:rsidRPr="009A13E9" w14:paraId="0208379A" w14:textId="77777777">
        <w:tc>
          <w:tcPr>
            <w:tcW w:w="10440" w:type="dxa"/>
            <w:tcBorders>
              <w:left w:val="single" w:sz="12" w:space="0" w:color="auto"/>
              <w:right w:val="single" w:sz="12" w:space="0" w:color="auto"/>
            </w:tcBorders>
          </w:tcPr>
          <w:p w14:paraId="7808BB59" w14:textId="77777777" w:rsidR="00DC54EA" w:rsidRPr="009A13E9" w:rsidRDefault="00DC54EA">
            <w:pPr>
              <w:ind w:left="360" w:right="200"/>
              <w:jc w:val="both"/>
              <w:rPr>
                <w:rFonts w:ascii="New Century Schlbk" w:hAnsi="New Century Schlbk"/>
                <w:sz w:val="16"/>
              </w:rPr>
            </w:pPr>
          </w:p>
        </w:tc>
      </w:tr>
      <w:tr w:rsidR="00DC54EA" w:rsidRPr="009A13E9" w14:paraId="78BA3AA6" w14:textId="77777777">
        <w:tc>
          <w:tcPr>
            <w:tcW w:w="10440" w:type="dxa"/>
            <w:tcBorders>
              <w:left w:val="single" w:sz="12" w:space="0" w:color="auto"/>
              <w:right w:val="single" w:sz="12" w:space="0" w:color="auto"/>
            </w:tcBorders>
          </w:tcPr>
          <w:p w14:paraId="1049C293" w14:textId="77777777" w:rsidR="00DC54EA" w:rsidRPr="009A13E9" w:rsidRDefault="00DC54EA">
            <w:pPr>
              <w:ind w:left="360" w:right="200"/>
              <w:jc w:val="both"/>
              <w:rPr>
                <w:rFonts w:ascii="New Century Schlbk" w:hAnsi="New Century Schlbk"/>
                <w:sz w:val="20"/>
              </w:rPr>
            </w:pPr>
            <w:r w:rsidRPr="007667C7">
              <w:rPr>
                <w:rFonts w:ascii="Arial" w:hAnsi="Arial"/>
                <w:sz w:val="20"/>
              </w:rPr>
              <w:t xml:space="preserve">Common-law principle that manufacturer can deal with one retailer in a community or area and refuse to sell to any other has not been modified by §§ 1 to 7 of this title or any other act of Congress.  U.S. v. Arnold, Schwinn &amp; Co., D.C.Ill.1965, 237 </w:t>
            </w:r>
            <w:proofErr w:type="spellStart"/>
            <w:r w:rsidRPr="007667C7">
              <w:rPr>
                <w:rFonts w:ascii="Arial" w:hAnsi="Arial"/>
                <w:sz w:val="20"/>
              </w:rPr>
              <w:t>F.Supp</w:t>
            </w:r>
            <w:proofErr w:type="spellEnd"/>
            <w:r w:rsidRPr="007667C7">
              <w:rPr>
                <w:rFonts w:ascii="Arial" w:hAnsi="Arial"/>
                <w:sz w:val="20"/>
              </w:rPr>
              <w:t xml:space="preserve">. 323, reversed on other grounds 87 S.Ct. 1856, 388 U.S. 365, 18 L.Ed.2d 1249, on remand 291 </w:t>
            </w:r>
            <w:proofErr w:type="spellStart"/>
            <w:r w:rsidRPr="007667C7">
              <w:rPr>
                <w:rFonts w:ascii="Arial" w:hAnsi="Arial"/>
                <w:sz w:val="20"/>
              </w:rPr>
              <w:t>F.Supp</w:t>
            </w:r>
            <w:proofErr w:type="spellEnd"/>
            <w:r w:rsidRPr="007667C7">
              <w:rPr>
                <w:rFonts w:ascii="Arial" w:hAnsi="Arial"/>
                <w:sz w:val="20"/>
              </w:rPr>
              <w:t>. 564, 567.</w:t>
            </w:r>
          </w:p>
        </w:tc>
      </w:tr>
      <w:tr w:rsidR="00DC54EA" w:rsidRPr="009A13E9" w14:paraId="20918090" w14:textId="77777777">
        <w:tc>
          <w:tcPr>
            <w:tcW w:w="10440" w:type="dxa"/>
            <w:tcBorders>
              <w:left w:val="single" w:sz="12" w:space="0" w:color="auto"/>
              <w:right w:val="single" w:sz="12" w:space="0" w:color="auto"/>
            </w:tcBorders>
          </w:tcPr>
          <w:p w14:paraId="1B68DA75" w14:textId="77777777" w:rsidR="00DC54EA" w:rsidRPr="009A13E9" w:rsidRDefault="00DC54EA">
            <w:pPr>
              <w:ind w:left="360" w:right="200"/>
              <w:jc w:val="both"/>
              <w:rPr>
                <w:rFonts w:ascii="New Century Schlbk" w:hAnsi="New Century Schlbk"/>
                <w:sz w:val="16"/>
              </w:rPr>
            </w:pPr>
          </w:p>
        </w:tc>
      </w:tr>
      <w:tr w:rsidR="00DC54EA" w:rsidRPr="009A13E9" w14:paraId="0FB1CAD6" w14:textId="77777777">
        <w:tc>
          <w:tcPr>
            <w:tcW w:w="10440" w:type="dxa"/>
            <w:tcBorders>
              <w:left w:val="single" w:sz="12" w:space="0" w:color="auto"/>
              <w:right w:val="single" w:sz="12" w:space="0" w:color="auto"/>
            </w:tcBorders>
          </w:tcPr>
          <w:p w14:paraId="08FDE7C9" w14:textId="77777777" w:rsidR="00DC54EA" w:rsidRPr="009A13E9" w:rsidRDefault="00DC54EA">
            <w:pPr>
              <w:ind w:left="360" w:right="200"/>
              <w:jc w:val="both"/>
              <w:rPr>
                <w:rFonts w:ascii="New Century Schlbk" w:hAnsi="New Century Schlbk"/>
                <w:sz w:val="16"/>
              </w:rPr>
            </w:pPr>
            <w:r w:rsidRPr="007667C7">
              <w:rPr>
                <w:rFonts w:ascii="Arial" w:hAnsi="Arial"/>
                <w:sz w:val="20"/>
              </w:rPr>
              <w:t xml:space="preserve">This section is but an exposition of common law doctrines in restraint of trade and is to be interpreted in the light of common law.  U.S. v. Greater Kansas City Chapter Nat. Elec. Contractors </w:t>
            </w:r>
            <w:proofErr w:type="spellStart"/>
            <w:r w:rsidRPr="007667C7">
              <w:rPr>
                <w:rFonts w:ascii="Arial" w:hAnsi="Arial"/>
                <w:sz w:val="20"/>
              </w:rPr>
              <w:t>Ass’n</w:t>
            </w:r>
            <w:proofErr w:type="spellEnd"/>
            <w:r w:rsidRPr="007667C7">
              <w:rPr>
                <w:rFonts w:ascii="Arial" w:hAnsi="Arial"/>
                <w:sz w:val="20"/>
              </w:rPr>
              <w:t xml:space="preserve">, D.C.Mo.1949, 82 </w:t>
            </w:r>
            <w:proofErr w:type="spellStart"/>
            <w:r w:rsidRPr="007667C7">
              <w:rPr>
                <w:rFonts w:ascii="Arial" w:hAnsi="Arial"/>
                <w:sz w:val="20"/>
              </w:rPr>
              <w:t>F.Supp</w:t>
            </w:r>
            <w:proofErr w:type="spellEnd"/>
            <w:r w:rsidRPr="007667C7">
              <w:rPr>
                <w:rFonts w:ascii="Arial" w:hAnsi="Arial"/>
                <w:sz w:val="20"/>
              </w:rPr>
              <w:t>. 147.</w:t>
            </w:r>
          </w:p>
        </w:tc>
      </w:tr>
      <w:tr w:rsidR="00DC54EA" w:rsidRPr="007667C7" w14:paraId="6AFFB920" w14:textId="77777777">
        <w:tc>
          <w:tcPr>
            <w:tcW w:w="10440" w:type="dxa"/>
            <w:tcBorders>
              <w:left w:val="single" w:sz="12" w:space="0" w:color="auto"/>
              <w:bottom w:val="single" w:sz="12" w:space="0" w:color="auto"/>
              <w:right w:val="single" w:sz="12" w:space="0" w:color="auto"/>
            </w:tcBorders>
          </w:tcPr>
          <w:p w14:paraId="32BF2BCA" w14:textId="77777777" w:rsidR="00DC54EA" w:rsidRPr="007667C7" w:rsidRDefault="00DC54EA">
            <w:pPr>
              <w:ind w:left="360" w:right="200"/>
              <w:jc w:val="both"/>
              <w:rPr>
                <w:rFonts w:ascii="Arial" w:hAnsi="Arial"/>
                <w:sz w:val="20"/>
              </w:rPr>
            </w:pPr>
          </w:p>
        </w:tc>
      </w:tr>
    </w:tbl>
    <w:p w14:paraId="6F6DEB2C" w14:textId="77777777" w:rsidR="00DC54EA" w:rsidRPr="007667C7" w:rsidRDefault="00DC54EA">
      <w:pPr>
        <w:ind w:right="-720"/>
        <w:jc w:val="both"/>
        <w:rPr>
          <w:rFonts w:ascii="Arial" w:hAnsi="Arial"/>
          <w:b/>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4E83ECBE" w14:textId="77777777">
        <w:tc>
          <w:tcPr>
            <w:tcW w:w="10440" w:type="dxa"/>
            <w:tcBorders>
              <w:top w:val="single" w:sz="12" w:space="0" w:color="auto"/>
              <w:left w:val="single" w:sz="12" w:space="0" w:color="auto"/>
              <w:right w:val="single" w:sz="12" w:space="0" w:color="auto"/>
            </w:tcBorders>
          </w:tcPr>
          <w:p w14:paraId="66E3DC36" w14:textId="77777777" w:rsidR="00DC54EA" w:rsidRPr="009A13E9" w:rsidRDefault="00DC54EA">
            <w:pPr>
              <w:ind w:left="360" w:right="200"/>
              <w:jc w:val="both"/>
              <w:rPr>
                <w:rFonts w:ascii="B New Century Schlbk Bold" w:hAnsi="B New Century Schlbk Bold"/>
                <w:smallCaps/>
                <w:sz w:val="20"/>
              </w:rPr>
            </w:pPr>
          </w:p>
        </w:tc>
      </w:tr>
      <w:tr w:rsidR="00DC54EA" w:rsidRPr="007667C7" w14:paraId="3944306F" w14:textId="77777777">
        <w:tc>
          <w:tcPr>
            <w:tcW w:w="10440" w:type="dxa"/>
            <w:tcBorders>
              <w:left w:val="single" w:sz="12" w:space="0" w:color="auto"/>
              <w:right w:val="single" w:sz="12" w:space="0" w:color="auto"/>
            </w:tcBorders>
          </w:tcPr>
          <w:p w14:paraId="361E08CB" w14:textId="77777777" w:rsidR="00DC54EA" w:rsidRPr="009A13E9" w:rsidRDefault="00DC54EA">
            <w:pPr>
              <w:ind w:left="360" w:right="200"/>
              <w:jc w:val="center"/>
              <w:rPr>
                <w:rFonts w:ascii="B New Century Schlbk Bold" w:hAnsi="B New Century Schlbk Bold"/>
                <w:smallCaps/>
                <w:sz w:val="20"/>
              </w:rPr>
            </w:pPr>
            <w:r w:rsidRPr="007667C7">
              <w:rPr>
                <w:rFonts w:ascii="Arial" w:hAnsi="Arial"/>
                <w:b/>
                <w:smallCaps/>
                <w:sz w:val="20"/>
              </w:rPr>
              <w:t>Case Synopsis—</w:t>
            </w:r>
          </w:p>
        </w:tc>
      </w:tr>
      <w:tr w:rsidR="00DC54EA" w:rsidRPr="007667C7" w14:paraId="7161CD7D" w14:textId="77777777">
        <w:tc>
          <w:tcPr>
            <w:tcW w:w="10440" w:type="dxa"/>
            <w:tcBorders>
              <w:left w:val="single" w:sz="12" w:space="0" w:color="auto"/>
              <w:right w:val="single" w:sz="12" w:space="0" w:color="auto"/>
            </w:tcBorders>
          </w:tcPr>
          <w:p w14:paraId="0802E041" w14:textId="77777777" w:rsidR="00DC54EA" w:rsidRPr="009A13E9" w:rsidRDefault="00DC54EA">
            <w:pPr>
              <w:ind w:left="360" w:right="200"/>
              <w:jc w:val="both"/>
              <w:rPr>
                <w:rFonts w:ascii="New Century Schlbk" w:hAnsi="New Century Schlbk"/>
                <w:sz w:val="16"/>
              </w:rPr>
            </w:pPr>
          </w:p>
        </w:tc>
      </w:tr>
      <w:tr w:rsidR="00DC54EA" w:rsidRPr="009A13E9" w14:paraId="58F4D854" w14:textId="77777777">
        <w:tc>
          <w:tcPr>
            <w:tcW w:w="10440" w:type="dxa"/>
            <w:tcBorders>
              <w:left w:val="single" w:sz="12" w:space="0" w:color="auto"/>
              <w:right w:val="single" w:sz="12" w:space="0" w:color="auto"/>
            </w:tcBorders>
          </w:tcPr>
          <w:p w14:paraId="5015373C" w14:textId="77777777" w:rsidR="00DC54EA" w:rsidRPr="007667C7" w:rsidRDefault="00DC54EA">
            <w:pPr>
              <w:ind w:left="360" w:right="200"/>
              <w:jc w:val="center"/>
              <w:rPr>
                <w:rFonts w:ascii="Arial" w:hAnsi="Arial"/>
              </w:rPr>
            </w:pPr>
            <w:r w:rsidRPr="007667C7">
              <w:rPr>
                <w:rFonts w:ascii="Arial" w:hAnsi="Arial"/>
                <w:b/>
              </w:rPr>
              <w:t>A Sample Case:</w:t>
            </w:r>
            <w:r w:rsidRPr="007667C7">
              <w:rPr>
                <w:rFonts w:ascii="Arial" w:hAnsi="Arial"/>
                <w:b/>
                <w:i/>
              </w:rPr>
              <w:t xml:space="preserve"> </w:t>
            </w:r>
            <w:r w:rsidR="0004349B" w:rsidRPr="007667C7">
              <w:rPr>
                <w:rFonts w:ascii="Arial" w:hAnsi="Arial" w:cs="Arial"/>
                <w:b/>
                <w:i/>
              </w:rPr>
              <w:t>Apple Inc. v. Amazon.com Inc.</w:t>
            </w:r>
          </w:p>
        </w:tc>
      </w:tr>
      <w:tr w:rsidR="00DC54EA" w:rsidRPr="009A13E9" w14:paraId="0114B58D" w14:textId="77777777">
        <w:tc>
          <w:tcPr>
            <w:tcW w:w="10440" w:type="dxa"/>
            <w:tcBorders>
              <w:left w:val="single" w:sz="12" w:space="0" w:color="auto"/>
              <w:right w:val="single" w:sz="12" w:space="0" w:color="auto"/>
            </w:tcBorders>
          </w:tcPr>
          <w:p w14:paraId="441BFF0F" w14:textId="77777777" w:rsidR="00DC54EA" w:rsidRPr="009A13E9" w:rsidRDefault="00DC54EA">
            <w:pPr>
              <w:ind w:left="360" w:right="200"/>
              <w:jc w:val="both"/>
              <w:rPr>
                <w:rFonts w:ascii="New Century Schlbk" w:hAnsi="New Century Schlbk"/>
                <w:sz w:val="16"/>
              </w:rPr>
            </w:pPr>
          </w:p>
        </w:tc>
      </w:tr>
      <w:tr w:rsidR="00DC54EA" w:rsidRPr="009A13E9" w14:paraId="2693CAD2" w14:textId="77777777">
        <w:tc>
          <w:tcPr>
            <w:tcW w:w="10440" w:type="dxa"/>
            <w:tcBorders>
              <w:left w:val="single" w:sz="12" w:space="0" w:color="auto"/>
              <w:right w:val="single" w:sz="12" w:space="0" w:color="auto"/>
            </w:tcBorders>
          </w:tcPr>
          <w:p w14:paraId="12858032" w14:textId="77777777" w:rsidR="00DC54EA" w:rsidRPr="00E46EF9" w:rsidRDefault="00DC54EA" w:rsidP="00E46EF9">
            <w:pPr>
              <w:ind w:left="360" w:right="200"/>
              <w:jc w:val="both"/>
              <w:rPr>
                <w:rFonts w:ascii="New Century Schlbk" w:hAnsi="New Century Schlbk"/>
                <w:sz w:val="20"/>
              </w:rPr>
            </w:pPr>
            <w:r w:rsidRPr="007667C7">
              <w:rPr>
                <w:rFonts w:ascii="Arial" w:hAnsi="Arial"/>
                <w:sz w:val="20"/>
              </w:rPr>
              <w:tab/>
            </w:r>
            <w:r w:rsidR="00E46EF9" w:rsidRPr="007667C7">
              <w:rPr>
                <w:rFonts w:ascii="Arial" w:hAnsi="Arial" w:cs="Times"/>
                <w:sz w:val="20"/>
              </w:rPr>
              <w:t>Apple products (</w:t>
            </w:r>
            <w:proofErr w:type="spellStart"/>
            <w:r w:rsidR="00E46EF9" w:rsidRPr="007667C7">
              <w:rPr>
                <w:rFonts w:ascii="Arial" w:hAnsi="Arial" w:cs="Times"/>
                <w:sz w:val="20"/>
              </w:rPr>
              <w:t>iPads</w:t>
            </w:r>
            <w:proofErr w:type="spellEnd"/>
            <w:r w:rsidR="00E46EF9" w:rsidRPr="007667C7">
              <w:rPr>
                <w:rFonts w:ascii="Arial" w:hAnsi="Arial" w:cs="Times"/>
                <w:sz w:val="20"/>
              </w:rPr>
              <w:t xml:space="preserve">, iPhones, iPods) use the term APP STORE. Amazon.com launched an </w:t>
            </w:r>
            <w:proofErr w:type="spellStart"/>
            <w:r w:rsidR="00E46EF9" w:rsidRPr="007667C7">
              <w:rPr>
                <w:rFonts w:ascii="Arial" w:hAnsi="Arial" w:cs="Times"/>
                <w:sz w:val="20"/>
              </w:rPr>
              <w:t>Appstore</w:t>
            </w:r>
            <w:proofErr w:type="spellEnd"/>
            <w:r w:rsidR="00E46EF9" w:rsidRPr="007667C7">
              <w:rPr>
                <w:rFonts w:ascii="Arial" w:hAnsi="Arial" w:cs="Times"/>
                <w:sz w:val="20"/>
              </w:rPr>
              <w:t xml:space="preserve"> for viewing and downloading applications to Android devices (such as the Kindle Fire). Apple claimed that </w:t>
            </w:r>
            <w:r w:rsidR="00E46EF9" w:rsidRPr="007667C7">
              <w:rPr>
                <w:rFonts w:ascii="Arial" w:hAnsi="Arial" w:cs="Times"/>
                <w:sz w:val="20"/>
              </w:rPr>
              <w:lastRenderedPageBreak/>
              <w:t>Amazon’s use of the word “</w:t>
            </w:r>
            <w:proofErr w:type="spellStart"/>
            <w:r w:rsidR="00E46EF9" w:rsidRPr="007667C7">
              <w:rPr>
                <w:rFonts w:ascii="Arial" w:hAnsi="Arial" w:cs="Times"/>
                <w:sz w:val="20"/>
              </w:rPr>
              <w:t>Appstore</w:t>
            </w:r>
            <w:proofErr w:type="spellEnd"/>
            <w:r w:rsidR="00E46EF9" w:rsidRPr="007667C7">
              <w:rPr>
                <w:rFonts w:ascii="Arial" w:hAnsi="Arial" w:cs="Times"/>
                <w:sz w:val="20"/>
              </w:rPr>
              <w:t xml:space="preserve">” constituted false advertising and trademark infringement—that </w:t>
            </w:r>
            <w:r w:rsidR="00E46EF9" w:rsidRPr="007667C7">
              <w:rPr>
                <w:rFonts w:ascii="Arial" w:hAnsi="Arial" w:cs="Verdana"/>
                <w:sz w:val="20"/>
                <w:u w:color="0000FF"/>
                <w:lang w:eastAsia="ja-JP"/>
              </w:rPr>
              <w:t>Amazon’s use of “</w:t>
            </w:r>
            <w:proofErr w:type="spellStart"/>
            <w:r w:rsidR="00E46EF9" w:rsidRPr="007667C7">
              <w:rPr>
                <w:rFonts w:ascii="Arial" w:hAnsi="Arial" w:cs="Verdana"/>
                <w:sz w:val="20"/>
                <w:u w:color="0000FF"/>
                <w:lang w:eastAsia="ja-JP"/>
              </w:rPr>
              <w:t>Appstore</w:t>
            </w:r>
            <w:proofErr w:type="spellEnd"/>
            <w:r w:rsidR="00E46EF9" w:rsidRPr="007667C7">
              <w:rPr>
                <w:rFonts w:ascii="Arial" w:hAnsi="Arial" w:cs="Verdana"/>
                <w:sz w:val="20"/>
                <w:u w:color="0000FF"/>
                <w:lang w:eastAsia="ja-JP"/>
              </w:rPr>
              <w:t>” misled the public</w:t>
            </w:r>
            <w:r w:rsidR="00E46EF9" w:rsidRPr="007667C7">
              <w:rPr>
                <w:rFonts w:ascii="Arial" w:hAnsi="Arial" w:cs="Times"/>
                <w:sz w:val="20"/>
              </w:rPr>
              <w:t xml:space="preserve"> </w:t>
            </w:r>
            <w:r w:rsidR="00E46EF9" w:rsidRPr="007667C7">
              <w:rPr>
                <w:rFonts w:ascii="Arial" w:hAnsi="Arial" w:cs="Verdana"/>
                <w:sz w:val="20"/>
                <w:u w:color="0000FF"/>
                <w:lang w:eastAsia="ja-JP"/>
              </w:rPr>
              <w:t xml:space="preserve">into thinking that Amazon’s </w:t>
            </w:r>
            <w:proofErr w:type="spellStart"/>
            <w:r w:rsidR="00E46EF9" w:rsidRPr="007667C7">
              <w:rPr>
                <w:rFonts w:ascii="Arial" w:hAnsi="Arial" w:cs="Verdana"/>
                <w:sz w:val="20"/>
                <w:u w:color="0000FF"/>
                <w:lang w:eastAsia="ja-JP"/>
              </w:rPr>
              <w:t>Appstore</w:t>
            </w:r>
            <w:proofErr w:type="spellEnd"/>
            <w:r w:rsidR="00E46EF9" w:rsidRPr="007667C7">
              <w:rPr>
                <w:rFonts w:ascii="Arial" w:hAnsi="Arial" w:cs="Verdana"/>
                <w:sz w:val="20"/>
                <w:u w:color="0000FF"/>
                <w:lang w:eastAsia="ja-JP"/>
              </w:rPr>
              <w:t xml:space="preserve"> is affiliated with Apple and offers the same content</w:t>
            </w:r>
            <w:r w:rsidRPr="007667C7">
              <w:rPr>
                <w:rFonts w:ascii="Arial" w:hAnsi="Arial"/>
                <w:color w:val="000000"/>
                <w:sz w:val="20"/>
              </w:rPr>
              <w:t>.</w:t>
            </w:r>
          </w:p>
        </w:tc>
      </w:tr>
      <w:tr w:rsidR="00DC54EA" w:rsidRPr="009A13E9" w14:paraId="2571520D" w14:textId="77777777">
        <w:tc>
          <w:tcPr>
            <w:tcW w:w="10440" w:type="dxa"/>
            <w:tcBorders>
              <w:left w:val="single" w:sz="12" w:space="0" w:color="auto"/>
              <w:right w:val="single" w:sz="12" w:space="0" w:color="auto"/>
            </w:tcBorders>
          </w:tcPr>
          <w:p w14:paraId="0ED8924D" w14:textId="77777777" w:rsidR="00DC54EA" w:rsidRPr="009A13E9" w:rsidRDefault="00DC54EA">
            <w:pPr>
              <w:ind w:left="360" w:right="200"/>
              <w:jc w:val="both"/>
              <w:rPr>
                <w:rFonts w:ascii="New Century Schlbk" w:hAnsi="New Century Schlbk"/>
                <w:sz w:val="16"/>
              </w:rPr>
            </w:pPr>
          </w:p>
        </w:tc>
      </w:tr>
      <w:tr w:rsidR="00DC54EA" w:rsidRPr="00CE49A2" w14:paraId="5F3E14B2" w14:textId="77777777">
        <w:tc>
          <w:tcPr>
            <w:tcW w:w="10440" w:type="dxa"/>
            <w:tcBorders>
              <w:left w:val="single" w:sz="12" w:space="0" w:color="auto"/>
              <w:right w:val="single" w:sz="12" w:space="0" w:color="auto"/>
            </w:tcBorders>
          </w:tcPr>
          <w:p w14:paraId="07659627" w14:textId="77777777" w:rsidR="00DC54EA" w:rsidRPr="00CE49A2" w:rsidRDefault="00DC54EA">
            <w:pPr>
              <w:ind w:left="360" w:right="200"/>
              <w:jc w:val="both"/>
              <w:rPr>
                <w:rFonts w:ascii="New Century Schlbk" w:hAnsi="New Century Schlbk"/>
                <w:b/>
                <w:sz w:val="20"/>
              </w:rPr>
            </w:pPr>
            <w:r w:rsidRPr="007667C7">
              <w:rPr>
                <w:rFonts w:ascii="Arial" w:hAnsi="Arial"/>
                <w:sz w:val="20"/>
              </w:rPr>
              <w:tab/>
            </w:r>
            <w:r w:rsidR="00CE49A2" w:rsidRPr="007667C7">
              <w:rPr>
                <w:rFonts w:ascii="Arial" w:hAnsi="Arial"/>
                <w:sz w:val="20"/>
              </w:rPr>
              <w:t xml:space="preserve">A federal district court </w:t>
            </w:r>
            <w:r w:rsidR="00CE49A2" w:rsidRPr="007667C7">
              <w:rPr>
                <w:rFonts w:ascii="Arial" w:hAnsi="Arial" w:cs="Arial"/>
                <w:sz w:val="20"/>
              </w:rPr>
              <w:t xml:space="preserve">determined that consumers were not deceived by the two vendors’ use of the same term. </w:t>
            </w:r>
            <w:r w:rsidR="00CE49A2" w:rsidRPr="007667C7">
              <w:rPr>
                <w:rFonts w:ascii="Arial" w:hAnsi="Arial" w:cs="Arial"/>
                <w:sz w:val="20"/>
                <w:u w:color="0000FF"/>
                <w:lang w:eastAsia="ja-JP"/>
              </w:rPr>
              <w:t>There was no evidence that consumers understood “app store” to include specific qualities, characteristics, or attributes or were otherwise misled by the use of the term</w:t>
            </w:r>
            <w:r w:rsidRPr="007667C7">
              <w:rPr>
                <w:rFonts w:ascii="Arial" w:hAnsi="Arial"/>
                <w:sz w:val="20"/>
              </w:rPr>
              <w:t>.</w:t>
            </w:r>
          </w:p>
        </w:tc>
      </w:tr>
      <w:tr w:rsidR="00DC54EA" w:rsidRPr="009A13E9" w14:paraId="5F55F342" w14:textId="77777777">
        <w:tc>
          <w:tcPr>
            <w:tcW w:w="10440" w:type="dxa"/>
            <w:tcBorders>
              <w:left w:val="single" w:sz="12" w:space="0" w:color="auto"/>
              <w:right w:val="single" w:sz="12" w:space="0" w:color="auto"/>
            </w:tcBorders>
          </w:tcPr>
          <w:p w14:paraId="6BACCD89" w14:textId="77777777" w:rsidR="00DC54EA" w:rsidRPr="009A13E9" w:rsidRDefault="00DC54EA">
            <w:pPr>
              <w:suppressLineNumbers/>
              <w:ind w:left="360" w:right="200"/>
              <w:jc w:val="both"/>
              <w:rPr>
                <w:rFonts w:ascii="New Century Schlbk" w:hAnsi="New Century Schlbk"/>
                <w:sz w:val="16"/>
              </w:rPr>
            </w:pPr>
          </w:p>
        </w:tc>
      </w:tr>
      <w:tr w:rsidR="00DC54EA" w:rsidRPr="009A13E9" w14:paraId="71847362" w14:textId="77777777">
        <w:tc>
          <w:tcPr>
            <w:tcW w:w="10440" w:type="dxa"/>
            <w:tcBorders>
              <w:left w:val="single" w:sz="12" w:space="0" w:color="auto"/>
              <w:right w:val="single" w:sz="12" w:space="0" w:color="auto"/>
            </w:tcBorders>
          </w:tcPr>
          <w:p w14:paraId="7F6219CB" w14:textId="77777777" w:rsidR="00DC54EA" w:rsidRPr="009A13E9" w:rsidRDefault="00DC54EA">
            <w:pPr>
              <w:suppressLineNumbers/>
              <w:ind w:left="360" w:right="200"/>
              <w:jc w:val="center"/>
              <w:rPr>
                <w:rFonts w:ascii="New Century Schlbk" w:hAnsi="New Century Schlbk"/>
                <w:sz w:val="20"/>
              </w:rPr>
            </w:pPr>
            <w:r w:rsidRPr="007667C7">
              <w:rPr>
                <w:rFonts w:ascii="Arial" w:hAnsi="Arial"/>
                <w:sz w:val="20"/>
              </w:rPr>
              <w:t>..................................................................................................................................................</w:t>
            </w:r>
          </w:p>
        </w:tc>
      </w:tr>
      <w:tr w:rsidR="00DC54EA" w:rsidRPr="007667C7" w14:paraId="469B1446" w14:textId="77777777">
        <w:tc>
          <w:tcPr>
            <w:tcW w:w="10440" w:type="dxa"/>
            <w:tcBorders>
              <w:left w:val="single" w:sz="12" w:space="0" w:color="auto"/>
              <w:right w:val="single" w:sz="12" w:space="0" w:color="auto"/>
            </w:tcBorders>
          </w:tcPr>
          <w:p w14:paraId="014B7383" w14:textId="77777777" w:rsidR="00DC54EA" w:rsidRPr="009A13E9" w:rsidRDefault="00DC54EA">
            <w:pPr>
              <w:suppressLineNumbers/>
              <w:ind w:left="360" w:right="200"/>
              <w:jc w:val="both"/>
              <w:rPr>
                <w:rFonts w:ascii="New Century Schlbk" w:hAnsi="New Century Schlbk"/>
                <w:sz w:val="14"/>
              </w:rPr>
            </w:pPr>
          </w:p>
        </w:tc>
      </w:tr>
      <w:tr w:rsidR="00DC54EA" w:rsidRPr="007667C7" w14:paraId="426A2A0F" w14:textId="77777777">
        <w:tc>
          <w:tcPr>
            <w:tcW w:w="10440" w:type="dxa"/>
            <w:tcBorders>
              <w:left w:val="single" w:sz="12" w:space="0" w:color="auto"/>
              <w:right w:val="single" w:sz="12" w:space="0" w:color="auto"/>
            </w:tcBorders>
          </w:tcPr>
          <w:p w14:paraId="4665974C" w14:textId="77777777" w:rsidR="00DC54EA" w:rsidRPr="009A13E9" w:rsidRDefault="00DC54EA">
            <w:pPr>
              <w:suppressLineNumbers/>
              <w:ind w:left="360" w:right="200"/>
              <w:jc w:val="center"/>
              <w:rPr>
                <w:rFonts w:ascii="B New Century Schlbk Bold" w:hAnsi="B New Century Schlbk Bold"/>
                <w:sz w:val="20"/>
              </w:rPr>
            </w:pPr>
            <w:r w:rsidRPr="007667C7">
              <w:rPr>
                <w:rFonts w:ascii="Arial" w:hAnsi="Arial"/>
                <w:b/>
                <w:sz w:val="20"/>
              </w:rPr>
              <w:t>Notes and Questions</w:t>
            </w:r>
          </w:p>
        </w:tc>
      </w:tr>
      <w:tr w:rsidR="00DC54EA" w:rsidRPr="009A13E9" w14:paraId="069EDA7A" w14:textId="77777777">
        <w:tc>
          <w:tcPr>
            <w:tcW w:w="10440" w:type="dxa"/>
            <w:tcBorders>
              <w:left w:val="single" w:sz="12" w:space="0" w:color="auto"/>
              <w:right w:val="single" w:sz="12" w:space="0" w:color="auto"/>
            </w:tcBorders>
          </w:tcPr>
          <w:p w14:paraId="7DDC470E" w14:textId="77777777" w:rsidR="00DC54EA" w:rsidRPr="009A13E9" w:rsidRDefault="00DC54EA">
            <w:pPr>
              <w:suppressLineNumbers/>
              <w:ind w:left="360" w:right="200"/>
              <w:jc w:val="both"/>
              <w:rPr>
                <w:rFonts w:ascii="New Century Schlbk" w:hAnsi="New Century Schlbk"/>
                <w:sz w:val="14"/>
              </w:rPr>
            </w:pPr>
          </w:p>
        </w:tc>
      </w:tr>
      <w:tr w:rsidR="00DC54EA" w:rsidRPr="009A13E9" w14:paraId="2E4E3D4D" w14:textId="77777777">
        <w:tc>
          <w:tcPr>
            <w:tcW w:w="10440" w:type="dxa"/>
            <w:tcBorders>
              <w:left w:val="single" w:sz="12" w:space="0" w:color="auto"/>
              <w:right w:val="single" w:sz="12" w:space="0" w:color="auto"/>
            </w:tcBorders>
          </w:tcPr>
          <w:p w14:paraId="17302D80" w14:textId="77777777" w:rsidR="00DC54EA" w:rsidRPr="009A13E9" w:rsidRDefault="00DC54EA" w:rsidP="003B1A82">
            <w:pPr>
              <w:suppressLineNumbers/>
              <w:ind w:left="360" w:right="200"/>
              <w:jc w:val="both"/>
              <w:rPr>
                <w:rFonts w:ascii="New Century Schlbk" w:hAnsi="New Century Schlbk"/>
                <w:sz w:val="20"/>
              </w:rPr>
            </w:pPr>
            <w:r w:rsidRPr="007667C7">
              <w:rPr>
                <w:rFonts w:ascii="Arial" w:hAnsi="Arial"/>
                <w:sz w:val="20"/>
              </w:rPr>
              <w:tab/>
            </w:r>
            <w:r w:rsidR="00B37F0F" w:rsidRPr="007667C7">
              <w:rPr>
                <w:rFonts w:ascii="Arial" w:hAnsi="Arial"/>
                <w:b/>
                <w:i/>
                <w:color w:val="000000"/>
                <w:sz w:val="20"/>
              </w:rPr>
              <w:t xml:space="preserve">What is required to establish that an ad, or the use of a certain term, </w:t>
            </w:r>
            <w:r w:rsidR="002B4CEF" w:rsidRPr="007667C7">
              <w:rPr>
                <w:rFonts w:ascii="Arial" w:hAnsi="Arial"/>
                <w:b/>
                <w:i/>
                <w:color w:val="000000"/>
                <w:sz w:val="20"/>
              </w:rPr>
              <w:t xml:space="preserve">as in this case, </w:t>
            </w:r>
            <w:r w:rsidR="00B37F0F" w:rsidRPr="007667C7">
              <w:rPr>
                <w:rFonts w:ascii="Arial" w:hAnsi="Arial"/>
                <w:b/>
                <w:i/>
                <w:color w:val="000000"/>
                <w:sz w:val="20"/>
              </w:rPr>
              <w:t>constitutes false advertising</w:t>
            </w:r>
            <w:r w:rsidRPr="007667C7">
              <w:rPr>
                <w:rFonts w:ascii="Arial" w:hAnsi="Arial"/>
                <w:b/>
                <w:i/>
                <w:color w:val="000000"/>
                <w:sz w:val="20"/>
              </w:rPr>
              <w:t>?</w:t>
            </w:r>
            <w:r w:rsidRPr="007667C7">
              <w:rPr>
                <w:rFonts w:ascii="Arial" w:hAnsi="Arial"/>
                <w:color w:val="000000"/>
                <w:sz w:val="20"/>
              </w:rPr>
              <w:t xml:space="preserve"> </w:t>
            </w:r>
            <w:r w:rsidR="002B4CEF" w:rsidRPr="007667C7">
              <w:rPr>
                <w:rFonts w:ascii="Arial" w:hAnsi="Arial"/>
                <w:color w:val="000000"/>
                <w:sz w:val="20"/>
              </w:rPr>
              <w:t>A</w:t>
            </w:r>
            <w:r w:rsidR="002B4CEF" w:rsidRPr="007667C7">
              <w:rPr>
                <w:rFonts w:ascii="Arial" w:hAnsi="Arial" w:cs="Arial"/>
                <w:sz w:val="20"/>
              </w:rPr>
              <w:t xml:space="preserve"> false advertising claim requires either a false statement of fact in an ad or evidence showing </w:t>
            </w:r>
            <w:r w:rsidR="002B4CEF" w:rsidRPr="007667C7">
              <w:rPr>
                <w:rFonts w:ascii="Arial" w:hAnsi="Arial" w:cs="Arial"/>
                <w:sz w:val="20"/>
                <w:u w:color="0000FF"/>
                <w:lang w:eastAsia="ja-JP"/>
              </w:rPr>
              <w:t>exactly what message was conveyed that was sufficient to constitute false advertising.</w:t>
            </w:r>
            <w:r w:rsidR="003B1A82" w:rsidRPr="007667C7">
              <w:rPr>
                <w:rFonts w:ascii="Arial" w:hAnsi="Arial" w:cs="Arial"/>
                <w:sz w:val="20"/>
              </w:rPr>
              <w:t xml:space="preserve"> In this case, the court was asked to consider, in light of a false advertising claim, whether </w:t>
            </w:r>
            <w:r w:rsidR="003B1A82" w:rsidRPr="007667C7">
              <w:rPr>
                <w:rFonts w:ascii="Arial" w:hAnsi="Arial" w:cs="Arial"/>
                <w:color w:val="000000"/>
                <w:sz w:val="20"/>
              </w:rPr>
              <w:t>Amazon could use the term “</w:t>
            </w:r>
            <w:proofErr w:type="spellStart"/>
            <w:r w:rsidR="003B1A82" w:rsidRPr="007667C7">
              <w:rPr>
                <w:rFonts w:ascii="Arial" w:hAnsi="Arial" w:cs="Arial"/>
                <w:color w:val="000000"/>
                <w:sz w:val="20"/>
              </w:rPr>
              <w:t>Appstore</w:t>
            </w:r>
            <w:proofErr w:type="spellEnd"/>
            <w:r w:rsidR="003B1A82" w:rsidRPr="007667C7">
              <w:rPr>
                <w:rFonts w:ascii="Arial" w:hAnsi="Arial" w:cs="Arial"/>
                <w:color w:val="000000"/>
                <w:sz w:val="20"/>
              </w:rPr>
              <w:t>” to designate a site for buying apps</w:t>
            </w:r>
            <w:r w:rsidR="002779C0" w:rsidRPr="007667C7">
              <w:rPr>
                <w:rFonts w:ascii="Arial" w:hAnsi="Arial" w:cs="Arial"/>
                <w:color w:val="000000"/>
                <w:sz w:val="20"/>
              </w:rPr>
              <w:t xml:space="preserve">. Apple made this </w:t>
            </w:r>
            <w:proofErr w:type="gramStart"/>
            <w:r w:rsidR="002779C0" w:rsidRPr="007667C7">
              <w:rPr>
                <w:rFonts w:ascii="Arial" w:hAnsi="Arial" w:cs="Arial"/>
                <w:color w:val="000000"/>
                <w:sz w:val="20"/>
              </w:rPr>
              <w:t xml:space="preserve">assertion </w:t>
            </w:r>
            <w:r w:rsidR="003B1A82" w:rsidRPr="007667C7">
              <w:rPr>
                <w:rFonts w:ascii="Arial" w:hAnsi="Arial" w:cs="Arial"/>
                <w:color w:val="000000"/>
                <w:sz w:val="20"/>
              </w:rPr>
              <w:t xml:space="preserve"> without</w:t>
            </w:r>
            <w:proofErr w:type="gramEnd"/>
            <w:r w:rsidR="003B1A82" w:rsidRPr="007667C7">
              <w:rPr>
                <w:rFonts w:ascii="Arial" w:hAnsi="Arial" w:cs="Arial"/>
                <w:color w:val="000000"/>
                <w:sz w:val="20"/>
              </w:rPr>
              <w:t xml:space="preserve"> representing that the nature, characteristics, or quality of the site is the same as that of Apple’s “APP STORE.” This did not meet the standard for establishing false advertising.</w:t>
            </w:r>
          </w:p>
        </w:tc>
      </w:tr>
      <w:tr w:rsidR="00B6201E" w:rsidRPr="009A13E9" w14:paraId="2FD83FC6" w14:textId="77777777" w:rsidTr="007C42A8">
        <w:tc>
          <w:tcPr>
            <w:tcW w:w="10440" w:type="dxa"/>
            <w:tcBorders>
              <w:left w:val="single" w:sz="12" w:space="0" w:color="auto"/>
              <w:right w:val="single" w:sz="12" w:space="0" w:color="auto"/>
            </w:tcBorders>
          </w:tcPr>
          <w:p w14:paraId="0A92767D" w14:textId="77777777" w:rsidR="00B6201E" w:rsidRPr="009A13E9" w:rsidRDefault="00B6201E" w:rsidP="007C42A8">
            <w:pPr>
              <w:suppressLineNumbers/>
              <w:ind w:left="360" w:right="200"/>
              <w:jc w:val="both"/>
              <w:rPr>
                <w:rFonts w:ascii="New Century Schlbk" w:hAnsi="New Century Schlbk"/>
                <w:sz w:val="14"/>
              </w:rPr>
            </w:pPr>
          </w:p>
        </w:tc>
      </w:tr>
      <w:tr w:rsidR="00B6201E" w:rsidRPr="007667C7" w14:paraId="01A71F3E" w14:textId="77777777" w:rsidTr="007C42A8">
        <w:tc>
          <w:tcPr>
            <w:tcW w:w="10440" w:type="dxa"/>
            <w:tcBorders>
              <w:left w:val="single" w:sz="12" w:space="0" w:color="auto"/>
              <w:right w:val="single" w:sz="12" w:space="0" w:color="auto"/>
            </w:tcBorders>
          </w:tcPr>
          <w:p w14:paraId="161368C6" w14:textId="77777777" w:rsidR="00B6201E" w:rsidRPr="00B6201E" w:rsidRDefault="00B6201E" w:rsidP="007C42A8">
            <w:pPr>
              <w:suppressLineNumbers/>
              <w:ind w:left="360" w:right="200"/>
              <w:jc w:val="both"/>
              <w:rPr>
                <w:rFonts w:ascii="New Century Schlbk" w:hAnsi="New Century Schlbk"/>
                <w:sz w:val="20"/>
              </w:rPr>
            </w:pPr>
            <w:r w:rsidRPr="007667C7">
              <w:rPr>
                <w:rFonts w:ascii="Arial" w:hAnsi="Arial"/>
                <w:sz w:val="20"/>
              </w:rPr>
              <w:tab/>
            </w:r>
            <w:r w:rsidRPr="007667C7">
              <w:rPr>
                <w:rFonts w:ascii="Arial" w:hAnsi="Arial"/>
                <w:b/>
                <w:i/>
                <w:color w:val="000000"/>
                <w:sz w:val="20"/>
              </w:rPr>
              <w:t xml:space="preserve">Amazon filed a motion for summary judgment. </w:t>
            </w:r>
            <w:r w:rsidRPr="007667C7">
              <w:rPr>
                <w:rFonts w:ascii="Arial" w:hAnsi="Arial" w:cs="Verdana"/>
                <w:b/>
                <w:i/>
                <w:sz w:val="20"/>
                <w:u w:color="0000FF"/>
                <w:lang w:eastAsia="ja-JP"/>
              </w:rPr>
              <w:t>Summary judgment is appropriate when there is no genuine dispute as to any material fact</w:t>
            </w:r>
            <w:r w:rsidRPr="007667C7">
              <w:rPr>
                <w:rFonts w:ascii="Arial" w:hAnsi="Arial"/>
                <w:b/>
                <w:i/>
                <w:color w:val="000000"/>
                <w:sz w:val="20"/>
              </w:rPr>
              <w:t>. What is a material fact? What indicates that a dispute over a material fact is genuine?</w:t>
            </w:r>
            <w:r w:rsidRPr="007667C7">
              <w:rPr>
                <w:rFonts w:ascii="Arial" w:hAnsi="Arial"/>
                <w:color w:val="000000"/>
                <w:sz w:val="20"/>
              </w:rPr>
              <w:t xml:space="preserve"> </w:t>
            </w:r>
            <w:r w:rsidRPr="007667C7">
              <w:rPr>
                <w:rFonts w:ascii="Arial" w:hAnsi="Arial" w:cs="Verdana"/>
                <w:sz w:val="20"/>
                <w:u w:color="0000FF"/>
                <w:lang w:eastAsia="ja-JP"/>
              </w:rPr>
              <w:t>Material facts are those that might affect the outcome of the case. A dispute as to a material fact is “genuine” if there is sufficient evidence for a reasonable jury to return a verdict for the party against whom the motion is filed</w:t>
            </w:r>
            <w:r w:rsidRPr="007667C7">
              <w:rPr>
                <w:rFonts w:ascii="Arial" w:hAnsi="Arial" w:cs="Arial"/>
                <w:color w:val="000000"/>
                <w:sz w:val="20"/>
              </w:rPr>
              <w:t>.</w:t>
            </w:r>
          </w:p>
        </w:tc>
      </w:tr>
      <w:tr w:rsidR="00DC54EA" w:rsidRPr="007667C7" w14:paraId="04C72F74" w14:textId="77777777">
        <w:tc>
          <w:tcPr>
            <w:tcW w:w="10440" w:type="dxa"/>
            <w:tcBorders>
              <w:left w:val="single" w:sz="12" w:space="0" w:color="auto"/>
              <w:bottom w:val="single" w:sz="12" w:space="0" w:color="auto"/>
              <w:right w:val="single" w:sz="12" w:space="0" w:color="auto"/>
            </w:tcBorders>
          </w:tcPr>
          <w:p w14:paraId="0366408E" w14:textId="77777777" w:rsidR="00DC54EA" w:rsidRPr="007667C7" w:rsidRDefault="00DC54EA">
            <w:pPr>
              <w:suppressLineNumbers/>
              <w:ind w:left="360" w:right="200"/>
              <w:jc w:val="both"/>
              <w:rPr>
                <w:rFonts w:ascii="Arial" w:hAnsi="Arial"/>
                <w:b/>
                <w:i/>
                <w:sz w:val="20"/>
              </w:rPr>
            </w:pPr>
          </w:p>
        </w:tc>
      </w:tr>
    </w:tbl>
    <w:p w14:paraId="68742606" w14:textId="77777777" w:rsidR="00DC54EA" w:rsidRDefault="00DC54EA">
      <w:pPr>
        <w:ind w:right="-720"/>
        <w:jc w:val="both"/>
        <w:rPr>
          <w:rFonts w:ascii="Arial" w:hAnsi="Arial"/>
          <w:b/>
          <w:smallCaps/>
          <w:sz w:val="20"/>
        </w:rPr>
      </w:pPr>
    </w:p>
    <w:p w14:paraId="2080EB4B" w14:textId="77777777" w:rsidR="003D4FCB" w:rsidRPr="007667C7" w:rsidRDefault="003D4FCB">
      <w:pPr>
        <w:ind w:right="-720"/>
        <w:jc w:val="both"/>
        <w:rPr>
          <w:rFonts w:ascii="Arial" w:hAnsi="Arial"/>
          <w:b/>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1B856B17" w14:textId="77777777">
        <w:tc>
          <w:tcPr>
            <w:tcW w:w="10440" w:type="dxa"/>
            <w:tcBorders>
              <w:top w:val="single" w:sz="12" w:space="0" w:color="auto"/>
              <w:left w:val="single" w:sz="12" w:space="0" w:color="auto"/>
              <w:right w:val="single" w:sz="12" w:space="0" w:color="auto"/>
            </w:tcBorders>
          </w:tcPr>
          <w:p w14:paraId="4AE3AD8A" w14:textId="77777777" w:rsidR="00DC54EA" w:rsidRPr="009A13E9" w:rsidRDefault="00DC54EA">
            <w:pPr>
              <w:ind w:left="360" w:right="200"/>
              <w:jc w:val="both"/>
              <w:rPr>
                <w:rFonts w:ascii="B New Century Schlbk Bold" w:hAnsi="B New Century Schlbk Bold"/>
                <w:smallCaps/>
                <w:sz w:val="20"/>
              </w:rPr>
            </w:pPr>
          </w:p>
        </w:tc>
      </w:tr>
      <w:tr w:rsidR="00DC54EA" w:rsidRPr="007667C7" w14:paraId="480E5C9E" w14:textId="77777777">
        <w:tc>
          <w:tcPr>
            <w:tcW w:w="10440" w:type="dxa"/>
            <w:tcBorders>
              <w:left w:val="single" w:sz="12" w:space="0" w:color="auto"/>
              <w:right w:val="single" w:sz="12" w:space="0" w:color="auto"/>
            </w:tcBorders>
          </w:tcPr>
          <w:p w14:paraId="686A10AB" w14:textId="77777777" w:rsidR="00DC54EA" w:rsidRPr="009A13E9" w:rsidRDefault="00DC54EA">
            <w:pPr>
              <w:ind w:left="360" w:right="200"/>
              <w:jc w:val="center"/>
              <w:rPr>
                <w:rFonts w:ascii="B New Century Schlbk Bold" w:hAnsi="B New Century Schlbk Bold"/>
                <w:smallCaps/>
                <w:sz w:val="20"/>
              </w:rPr>
            </w:pPr>
            <w:r w:rsidRPr="007667C7">
              <w:rPr>
                <w:rFonts w:ascii="Arial" w:hAnsi="Arial"/>
                <w:b/>
                <w:smallCaps/>
                <w:sz w:val="28"/>
              </w:rPr>
              <w:t>Teaching Suggestions</w:t>
            </w:r>
          </w:p>
        </w:tc>
      </w:tr>
      <w:tr w:rsidR="00DC54EA" w:rsidRPr="007667C7" w14:paraId="34AE3BCC" w14:textId="77777777">
        <w:tc>
          <w:tcPr>
            <w:tcW w:w="10440" w:type="dxa"/>
            <w:tcBorders>
              <w:left w:val="single" w:sz="12" w:space="0" w:color="auto"/>
              <w:right w:val="single" w:sz="12" w:space="0" w:color="auto"/>
            </w:tcBorders>
          </w:tcPr>
          <w:p w14:paraId="6A03F3D6" w14:textId="77777777" w:rsidR="00DC54EA" w:rsidRPr="009A13E9" w:rsidRDefault="00DC54EA">
            <w:pPr>
              <w:ind w:left="360" w:right="200"/>
              <w:jc w:val="both"/>
              <w:rPr>
                <w:rFonts w:ascii="New Century Schlbk" w:hAnsi="New Century Schlbk"/>
                <w:sz w:val="20"/>
              </w:rPr>
            </w:pPr>
          </w:p>
        </w:tc>
      </w:tr>
      <w:tr w:rsidR="00DC54EA" w:rsidRPr="009A13E9" w14:paraId="6FF22569" w14:textId="77777777">
        <w:tc>
          <w:tcPr>
            <w:tcW w:w="10440" w:type="dxa"/>
            <w:tcBorders>
              <w:left w:val="single" w:sz="12" w:space="0" w:color="auto"/>
              <w:right w:val="single" w:sz="12" w:space="0" w:color="auto"/>
            </w:tcBorders>
          </w:tcPr>
          <w:p w14:paraId="1B38DFE5" w14:textId="77777777" w:rsidR="00DC54EA" w:rsidRPr="009A13E9" w:rsidRDefault="00DC54EA">
            <w:pPr>
              <w:ind w:left="360" w:right="200"/>
              <w:jc w:val="both"/>
              <w:rPr>
                <w:rFonts w:ascii="New Century Schlbk" w:hAnsi="New Century Schlbk"/>
                <w:sz w:val="20"/>
              </w:rPr>
            </w:pPr>
            <w:r w:rsidRPr="007667C7">
              <w:rPr>
                <w:rFonts w:ascii="Arial" w:hAnsi="Arial"/>
                <w:b/>
                <w:sz w:val="20"/>
              </w:rPr>
              <w:t>1.</w:t>
            </w:r>
            <w:r w:rsidRPr="007667C7">
              <w:rPr>
                <w:rFonts w:ascii="Arial" w:hAnsi="Arial"/>
                <w:b/>
                <w:sz w:val="20"/>
              </w:rPr>
              <w:tab/>
            </w:r>
            <w:r w:rsidRPr="007667C7">
              <w:rPr>
                <w:rFonts w:ascii="Arial" w:hAnsi="Arial"/>
                <w:sz w:val="20"/>
              </w:rPr>
              <w:t>Emphasize that the law is not simple—there are no simple solutions to complex problems.  Legal prin</w:t>
            </w:r>
            <w:r w:rsidRPr="007667C7">
              <w:rPr>
                <w:rFonts w:ascii="Arial" w:hAnsi="Arial"/>
                <w:sz w:val="20"/>
              </w:rPr>
              <w:softHyphen/>
              <w:t>ciples are presented in this course as “black letter law”—that is, in the form of basic principles generally ac</w:t>
            </w:r>
            <w:r w:rsidRPr="007667C7">
              <w:rPr>
                <w:rFonts w:ascii="Arial" w:hAnsi="Arial"/>
                <w:sz w:val="20"/>
              </w:rPr>
              <w:softHyphen/>
              <w:t>cepted by the courts or expressed in statutes.  In fact, the law is not so concrete and static.  One of the pur</w:t>
            </w:r>
            <w:r w:rsidRPr="007667C7">
              <w:rPr>
                <w:rFonts w:ascii="Arial" w:hAnsi="Arial"/>
                <w:sz w:val="20"/>
              </w:rPr>
              <w:softHyphen/>
              <w:t>poses of this course is to acquaint students with legal problems and issues that occur in society in general and in business in particular.  The limits of time and space do not allow all of the principles to be presented against the background of their development and the reasoning in their application.  By the end of the course, students should be able to recognize legal problems (“spot the issues”) when they arise.  In the real world, this may be enough to seek professional legal assistance. In this course, students should also be able to recognize the com</w:t>
            </w:r>
            <w:r w:rsidRPr="007667C7">
              <w:rPr>
                <w:rFonts w:ascii="Arial" w:hAnsi="Arial"/>
                <w:sz w:val="20"/>
              </w:rPr>
              <w:softHyphen/>
              <w:t>peting interests involved in an issue and reason through opposing points of view to a decision.</w:t>
            </w:r>
          </w:p>
        </w:tc>
      </w:tr>
      <w:tr w:rsidR="00DC54EA" w:rsidRPr="007667C7" w14:paraId="7D4D07CD" w14:textId="77777777">
        <w:tc>
          <w:tcPr>
            <w:tcW w:w="10440" w:type="dxa"/>
            <w:tcBorders>
              <w:left w:val="single" w:sz="12" w:space="0" w:color="auto"/>
              <w:right w:val="single" w:sz="12" w:space="0" w:color="auto"/>
            </w:tcBorders>
          </w:tcPr>
          <w:p w14:paraId="37922974" w14:textId="77777777" w:rsidR="00DC54EA" w:rsidRPr="009A13E9" w:rsidRDefault="00DC54EA">
            <w:pPr>
              <w:ind w:left="360" w:right="200"/>
              <w:jc w:val="both"/>
              <w:rPr>
                <w:rFonts w:ascii="New Century Schlbk" w:hAnsi="New Century Schlbk"/>
                <w:sz w:val="20"/>
              </w:rPr>
            </w:pPr>
          </w:p>
        </w:tc>
      </w:tr>
      <w:tr w:rsidR="00DC54EA" w:rsidRPr="009A13E9" w14:paraId="6E96C5D5" w14:textId="77777777">
        <w:tc>
          <w:tcPr>
            <w:tcW w:w="10440" w:type="dxa"/>
            <w:tcBorders>
              <w:left w:val="single" w:sz="12" w:space="0" w:color="auto"/>
              <w:right w:val="single" w:sz="12" w:space="0" w:color="auto"/>
            </w:tcBorders>
          </w:tcPr>
          <w:p w14:paraId="0F313A50" w14:textId="77777777" w:rsidR="00DC54EA" w:rsidRPr="009A13E9" w:rsidRDefault="00DC54EA">
            <w:pPr>
              <w:ind w:left="360" w:right="200"/>
              <w:jc w:val="both"/>
              <w:rPr>
                <w:rFonts w:ascii="New Century Schlbk" w:hAnsi="New Century Schlbk"/>
                <w:sz w:val="20"/>
              </w:rPr>
            </w:pPr>
            <w:r w:rsidRPr="007667C7">
              <w:rPr>
                <w:rFonts w:ascii="Arial" w:hAnsi="Arial"/>
                <w:b/>
                <w:sz w:val="20"/>
              </w:rPr>
              <w:t>2.</w:t>
            </w:r>
            <w:r w:rsidRPr="007667C7">
              <w:rPr>
                <w:rFonts w:ascii="Arial" w:hAnsi="Arial"/>
                <w:b/>
                <w:sz w:val="20"/>
              </w:rPr>
              <w:tab/>
            </w:r>
            <w:r w:rsidRPr="007667C7">
              <w:rPr>
                <w:rFonts w:ascii="Arial" w:hAnsi="Arial"/>
                <w:sz w:val="20"/>
              </w:rPr>
              <w:t>Point out that the law assumes everyone knows it, or, as it’s often phrased, “Ignorance of the law is no excuse.”  Of course, the volume and expanding proliferation of statutes, rules, and court decisions is beyond the ability of anyone to know it all.  But pointing out the law’s presumption might encourage students to study.  Also, knowing the law allows business people to make better business decisions.</w:t>
            </w:r>
          </w:p>
        </w:tc>
      </w:tr>
      <w:tr w:rsidR="00DC54EA" w:rsidRPr="007667C7" w14:paraId="42E36091" w14:textId="77777777">
        <w:tc>
          <w:tcPr>
            <w:tcW w:w="10440" w:type="dxa"/>
            <w:tcBorders>
              <w:left w:val="single" w:sz="12" w:space="0" w:color="auto"/>
              <w:right w:val="single" w:sz="12" w:space="0" w:color="auto"/>
            </w:tcBorders>
          </w:tcPr>
          <w:p w14:paraId="2930741E" w14:textId="77777777" w:rsidR="00DC54EA" w:rsidRPr="009A13E9" w:rsidRDefault="00DC54EA">
            <w:pPr>
              <w:ind w:left="360" w:right="200"/>
              <w:jc w:val="both"/>
              <w:rPr>
                <w:rFonts w:ascii="New Century Schlbk" w:hAnsi="New Century Schlbk"/>
                <w:sz w:val="20"/>
              </w:rPr>
            </w:pPr>
          </w:p>
        </w:tc>
      </w:tr>
      <w:tr w:rsidR="00DC54EA" w:rsidRPr="007667C7" w14:paraId="18207F62" w14:textId="77777777">
        <w:tc>
          <w:tcPr>
            <w:tcW w:w="10440" w:type="dxa"/>
            <w:tcBorders>
              <w:left w:val="single" w:sz="12" w:space="0" w:color="auto"/>
              <w:right w:val="single" w:sz="12" w:space="0" w:color="auto"/>
            </w:tcBorders>
          </w:tcPr>
          <w:p w14:paraId="27FC60F6" w14:textId="77777777" w:rsidR="00DC54EA" w:rsidRPr="009A13E9" w:rsidRDefault="00DC54EA">
            <w:pPr>
              <w:ind w:left="360" w:right="200"/>
              <w:jc w:val="both"/>
              <w:rPr>
                <w:rFonts w:ascii="New Century Schlbk" w:hAnsi="New Century Schlbk"/>
                <w:sz w:val="20"/>
              </w:rPr>
            </w:pPr>
            <w:r w:rsidRPr="007667C7">
              <w:rPr>
                <w:rFonts w:ascii="Arial" w:hAnsi="Arial"/>
                <w:b/>
                <w:sz w:val="20"/>
              </w:rPr>
              <w:t>3.</w:t>
            </w:r>
            <w:r w:rsidRPr="007667C7">
              <w:rPr>
                <w:rFonts w:ascii="Arial" w:hAnsi="Arial"/>
                <w:b/>
                <w:sz w:val="20"/>
              </w:rPr>
              <w:tab/>
            </w:r>
            <w:r w:rsidRPr="007667C7">
              <w:rPr>
                <w:rFonts w:ascii="Arial" w:hAnsi="Arial"/>
                <w:sz w:val="20"/>
              </w:rPr>
              <w:t>As Oliver Wendell Holmes noted, “The life of the law has not been logic”—that is, the law does not re</w:t>
            </w:r>
            <w:r w:rsidRPr="007667C7">
              <w:rPr>
                <w:rFonts w:ascii="Arial" w:hAnsi="Arial"/>
                <w:sz w:val="20"/>
              </w:rPr>
              <w:softHyphen/>
              <w:t>spond to an internal logic.  It responds to social change.  Emphasize that laws (and legal systems) are man</w:t>
            </w:r>
            <w:r w:rsidRPr="007667C7">
              <w:rPr>
                <w:rFonts w:ascii="Arial" w:hAnsi="Arial"/>
                <w:sz w:val="20"/>
              </w:rPr>
              <w:softHyphen/>
            </w:r>
            <w:r w:rsidRPr="007667C7">
              <w:rPr>
                <w:rFonts w:ascii="Arial" w:hAnsi="Arial"/>
                <w:sz w:val="20"/>
              </w:rPr>
              <w:lastRenderedPageBreak/>
              <w:t xml:space="preserve">made, that they can, and do, change over time as society changes.  </w:t>
            </w:r>
            <w:r w:rsidRPr="007667C7">
              <w:rPr>
                <w:rFonts w:ascii="Arial" w:hAnsi="Arial"/>
                <w:b/>
                <w:i/>
                <w:sz w:val="20"/>
              </w:rPr>
              <w:t>To what specific so</w:t>
            </w:r>
            <w:r w:rsidRPr="007667C7">
              <w:rPr>
                <w:rFonts w:ascii="Arial" w:hAnsi="Arial"/>
                <w:sz w:val="20"/>
              </w:rPr>
              <w:softHyphen/>
            </w:r>
            <w:r w:rsidRPr="007667C7">
              <w:rPr>
                <w:rFonts w:ascii="Arial" w:hAnsi="Arial"/>
                <w:b/>
                <w:i/>
                <w:sz w:val="20"/>
              </w:rPr>
              <w:t>cial forces does law re</w:t>
            </w:r>
            <w:r w:rsidRPr="007667C7">
              <w:rPr>
                <w:rFonts w:ascii="Arial" w:hAnsi="Arial"/>
                <w:sz w:val="20"/>
              </w:rPr>
              <w:softHyphen/>
            </w:r>
            <w:r w:rsidRPr="007667C7">
              <w:rPr>
                <w:rFonts w:ascii="Arial" w:hAnsi="Arial"/>
                <w:b/>
                <w:i/>
                <w:sz w:val="20"/>
              </w:rPr>
              <w:t xml:space="preserve">spond?  Are the changes always improvements? </w:t>
            </w:r>
            <w:r w:rsidRPr="007667C7">
              <w:rPr>
                <w:rFonts w:ascii="Arial" w:hAnsi="Arial"/>
                <w:sz w:val="20"/>
              </w:rPr>
              <w:t xml:space="preserve"> (These questions can also be discussed in connection with Chapter 5.)</w:t>
            </w:r>
          </w:p>
        </w:tc>
      </w:tr>
      <w:tr w:rsidR="00DC54EA" w:rsidRPr="009A13E9" w14:paraId="3520DD42" w14:textId="77777777">
        <w:tc>
          <w:tcPr>
            <w:tcW w:w="10440" w:type="dxa"/>
            <w:tcBorders>
              <w:left w:val="single" w:sz="12" w:space="0" w:color="auto"/>
              <w:right w:val="single" w:sz="12" w:space="0" w:color="auto"/>
            </w:tcBorders>
          </w:tcPr>
          <w:p w14:paraId="31C3870D" w14:textId="77777777" w:rsidR="00DC54EA" w:rsidRPr="009A13E9" w:rsidRDefault="00DC54EA">
            <w:pPr>
              <w:ind w:left="360" w:right="200"/>
              <w:jc w:val="both"/>
              <w:rPr>
                <w:rFonts w:ascii="B New Century Schlbk Bold" w:hAnsi="B New Century Schlbk Bold"/>
                <w:sz w:val="20"/>
              </w:rPr>
            </w:pPr>
          </w:p>
        </w:tc>
      </w:tr>
      <w:tr w:rsidR="00DC54EA" w:rsidRPr="007667C7" w14:paraId="2D1A8CA1" w14:textId="77777777">
        <w:tc>
          <w:tcPr>
            <w:tcW w:w="10440" w:type="dxa"/>
            <w:tcBorders>
              <w:left w:val="single" w:sz="12" w:space="0" w:color="auto"/>
              <w:right w:val="single" w:sz="12" w:space="0" w:color="auto"/>
            </w:tcBorders>
          </w:tcPr>
          <w:p w14:paraId="48D4F728" w14:textId="77777777" w:rsidR="00DC54EA" w:rsidRPr="009A13E9" w:rsidRDefault="00DC54EA">
            <w:pPr>
              <w:ind w:left="360" w:right="200"/>
              <w:jc w:val="both"/>
              <w:rPr>
                <w:rFonts w:ascii="New Century Schlbk" w:hAnsi="New Century Schlbk"/>
                <w:b/>
                <w:sz w:val="20"/>
              </w:rPr>
            </w:pPr>
            <w:r w:rsidRPr="007667C7">
              <w:rPr>
                <w:rFonts w:ascii="Arial" w:hAnsi="Arial"/>
                <w:b/>
                <w:sz w:val="20"/>
              </w:rPr>
              <w:t>4.</w:t>
            </w:r>
            <w:r w:rsidRPr="007667C7">
              <w:rPr>
                <w:rFonts w:ascii="Arial" w:hAnsi="Arial"/>
                <w:b/>
                <w:sz w:val="20"/>
              </w:rPr>
              <w:tab/>
            </w:r>
            <w:r w:rsidRPr="007667C7">
              <w:rPr>
                <w:rFonts w:ascii="Arial" w:hAnsi="Arial"/>
                <w:sz w:val="20"/>
              </w:rPr>
              <w:t>One method of introducing the subject matter of each class is to give students a hypothetical at the be</w:t>
            </w:r>
            <w:r w:rsidRPr="007667C7">
              <w:rPr>
                <w:rFonts w:ascii="Arial" w:hAnsi="Arial"/>
                <w:sz w:val="20"/>
              </w:rPr>
              <w:softHyphen/>
              <w:t>ginning of the class.  The hypothetical should illustrate the competing interests involved in some part of the law in the assigned reading.  Students should be asked to make a decision about the case and to explain the reasons behind their decision.  Once the law has been discussed, the same hypothetical can be considered from an ethical perspective.</w:t>
            </w:r>
          </w:p>
        </w:tc>
      </w:tr>
      <w:tr w:rsidR="00DC54EA" w:rsidRPr="009A13E9" w14:paraId="689F2B4D" w14:textId="77777777">
        <w:tc>
          <w:tcPr>
            <w:tcW w:w="10440" w:type="dxa"/>
            <w:tcBorders>
              <w:left w:val="single" w:sz="12" w:space="0" w:color="auto"/>
              <w:right w:val="single" w:sz="12" w:space="0" w:color="auto"/>
            </w:tcBorders>
          </w:tcPr>
          <w:p w14:paraId="6E91C0D2" w14:textId="77777777" w:rsidR="00DC54EA" w:rsidRPr="009A13E9" w:rsidRDefault="00DC54EA">
            <w:pPr>
              <w:ind w:left="360" w:right="200"/>
              <w:jc w:val="both"/>
              <w:rPr>
                <w:rFonts w:ascii="B New Century Schlbk Bold" w:hAnsi="B New Century Schlbk Bold"/>
                <w:sz w:val="20"/>
              </w:rPr>
            </w:pPr>
          </w:p>
        </w:tc>
      </w:tr>
      <w:tr w:rsidR="00DC54EA" w:rsidRPr="007667C7" w14:paraId="532900EB" w14:textId="77777777">
        <w:tc>
          <w:tcPr>
            <w:tcW w:w="10440" w:type="dxa"/>
            <w:tcBorders>
              <w:left w:val="single" w:sz="12" w:space="0" w:color="auto"/>
              <w:right w:val="single" w:sz="12" w:space="0" w:color="auto"/>
            </w:tcBorders>
          </w:tcPr>
          <w:p w14:paraId="3D4D2248" w14:textId="77777777" w:rsidR="00DC54EA" w:rsidRPr="009A13E9" w:rsidRDefault="00DC54EA">
            <w:pPr>
              <w:ind w:left="360" w:right="200"/>
              <w:jc w:val="both"/>
              <w:rPr>
                <w:rFonts w:ascii="New Century Schlbk" w:hAnsi="New Century Schlbk"/>
                <w:b/>
                <w:sz w:val="20"/>
              </w:rPr>
            </w:pPr>
            <w:r w:rsidRPr="007667C7">
              <w:rPr>
                <w:rFonts w:ascii="Arial" w:hAnsi="Arial"/>
                <w:b/>
                <w:sz w:val="20"/>
              </w:rPr>
              <w:t>5.</w:t>
            </w:r>
            <w:r w:rsidRPr="007667C7">
              <w:rPr>
                <w:rFonts w:ascii="Arial" w:hAnsi="Arial"/>
                <w:b/>
                <w:sz w:val="20"/>
              </w:rPr>
              <w:tab/>
            </w:r>
            <w:r w:rsidRPr="007667C7">
              <w:rPr>
                <w:rFonts w:ascii="Arial" w:hAnsi="Arial"/>
                <w:sz w:val="20"/>
              </w:rPr>
              <w:t xml:space="preserve">You might want to remind your students that the facts in a case should be accepted as given.  For example, under some circumstances, an oral contract may be enforceable.  If there is a statement in a case about the existence of oral contract, it should be accepted that there was an oral contract.  Arguing with the statement (“How could you prove that there was an </w:t>
            </w:r>
            <w:r w:rsidRPr="007667C7">
              <w:rPr>
                <w:rFonts w:ascii="Arial" w:hAnsi="Arial"/>
                <w:i/>
                <w:sz w:val="20"/>
              </w:rPr>
              <w:t>oral</w:t>
            </w:r>
            <w:r w:rsidRPr="007667C7">
              <w:rPr>
                <w:rFonts w:ascii="Arial" w:hAnsi="Arial"/>
                <w:sz w:val="20"/>
              </w:rPr>
              <w:t xml:space="preserve"> contract?” for instance) will only undercut their learning. Once they have learned the principle for which a case is presented, then they can ask, “What if the facts were different?”</w:t>
            </w:r>
          </w:p>
        </w:tc>
      </w:tr>
      <w:tr w:rsidR="00DC54EA" w:rsidRPr="007667C7" w14:paraId="2D845ED3" w14:textId="77777777">
        <w:tc>
          <w:tcPr>
            <w:tcW w:w="10440" w:type="dxa"/>
            <w:tcBorders>
              <w:left w:val="single" w:sz="12" w:space="0" w:color="auto"/>
              <w:right w:val="single" w:sz="12" w:space="0" w:color="auto"/>
            </w:tcBorders>
          </w:tcPr>
          <w:p w14:paraId="67150C43" w14:textId="77777777" w:rsidR="00DC54EA" w:rsidRPr="009A13E9" w:rsidRDefault="00DC54EA">
            <w:pPr>
              <w:ind w:left="360" w:right="200"/>
              <w:jc w:val="both"/>
              <w:rPr>
                <w:rFonts w:ascii="B New Century Schlbk Bold" w:hAnsi="B New Century Schlbk Bold"/>
                <w:sz w:val="20"/>
              </w:rPr>
            </w:pPr>
          </w:p>
        </w:tc>
      </w:tr>
      <w:tr w:rsidR="00DC54EA" w:rsidRPr="007667C7" w14:paraId="2CDE1446" w14:textId="77777777">
        <w:tc>
          <w:tcPr>
            <w:tcW w:w="10440" w:type="dxa"/>
            <w:tcBorders>
              <w:left w:val="single" w:sz="12" w:space="0" w:color="auto"/>
              <w:right w:val="single" w:sz="12" w:space="0" w:color="auto"/>
            </w:tcBorders>
          </w:tcPr>
          <w:p w14:paraId="4A36A17D" w14:textId="77777777" w:rsidR="00DC54EA" w:rsidRPr="009A13E9" w:rsidRDefault="00DC54EA">
            <w:pPr>
              <w:pStyle w:val="CaseSyn"/>
              <w:spacing w:line="240" w:lineRule="auto"/>
              <w:rPr>
                <w:b w:val="0"/>
                <w:smallCaps w:val="0"/>
                <w:sz w:val="24"/>
              </w:rPr>
            </w:pPr>
            <w:r w:rsidRPr="007667C7">
              <w:rPr>
                <w:rFonts w:ascii="Arial" w:hAnsi="Arial"/>
                <w:i/>
                <w:smallCaps w:val="0"/>
                <w:sz w:val="24"/>
              </w:rPr>
              <w:t>Cyberlaw Link</w:t>
            </w:r>
          </w:p>
        </w:tc>
      </w:tr>
      <w:tr w:rsidR="00DC54EA" w:rsidRPr="009A13E9" w14:paraId="02D74C2D" w14:textId="77777777">
        <w:tc>
          <w:tcPr>
            <w:tcW w:w="10440" w:type="dxa"/>
            <w:tcBorders>
              <w:left w:val="single" w:sz="12" w:space="0" w:color="auto"/>
              <w:right w:val="single" w:sz="12" w:space="0" w:color="auto"/>
            </w:tcBorders>
          </w:tcPr>
          <w:p w14:paraId="5EBC8F6E" w14:textId="77777777" w:rsidR="00DC54EA" w:rsidRPr="009A13E9" w:rsidRDefault="00DC54EA">
            <w:pPr>
              <w:ind w:left="360" w:right="200"/>
              <w:jc w:val="both"/>
              <w:rPr>
                <w:rFonts w:ascii="B New Century Schlbk Bold" w:hAnsi="B New Century Schlbk Bold"/>
                <w:sz w:val="20"/>
              </w:rPr>
            </w:pPr>
          </w:p>
        </w:tc>
      </w:tr>
      <w:tr w:rsidR="00DC54EA" w:rsidRPr="007667C7" w14:paraId="35EFABEA" w14:textId="77777777">
        <w:tc>
          <w:tcPr>
            <w:tcW w:w="10440" w:type="dxa"/>
            <w:tcBorders>
              <w:left w:val="single" w:sz="12" w:space="0" w:color="auto"/>
              <w:right w:val="single" w:sz="12" w:space="0" w:color="auto"/>
            </w:tcBorders>
          </w:tcPr>
          <w:p w14:paraId="18920C54" w14:textId="77777777" w:rsidR="00DC54EA" w:rsidRPr="009A13E9" w:rsidRDefault="00DC54EA">
            <w:pPr>
              <w:ind w:left="360" w:right="200"/>
              <w:jc w:val="both"/>
              <w:rPr>
                <w:rFonts w:ascii="New Century Schlbk" w:hAnsi="New Century Schlbk"/>
                <w:b/>
                <w:sz w:val="20"/>
              </w:rPr>
            </w:pPr>
            <w:r w:rsidRPr="007667C7">
              <w:rPr>
                <w:rFonts w:ascii="Arial" w:hAnsi="Arial"/>
                <w:b/>
                <w:sz w:val="20"/>
              </w:rPr>
              <w:tab/>
            </w:r>
            <w:r w:rsidRPr="007667C7">
              <w:rPr>
                <w:rFonts w:ascii="Arial" w:hAnsi="Arial"/>
                <w:sz w:val="20"/>
              </w:rPr>
              <w:t xml:space="preserve">Ask your students, at this early stage in their study of business law, what they feel are the chief legal issues in developing a Web site or doing business online.  </w:t>
            </w:r>
            <w:r w:rsidRPr="007667C7">
              <w:rPr>
                <w:rFonts w:ascii="Arial" w:hAnsi="Arial"/>
                <w:b/>
                <w:i/>
                <w:sz w:val="20"/>
              </w:rPr>
              <w:t>What are the legal risks involved in transacting business over the Internet?</w:t>
            </w:r>
            <w:r w:rsidRPr="007667C7">
              <w:rPr>
                <w:rFonts w:ascii="Arial" w:hAnsi="Arial"/>
                <w:sz w:val="20"/>
              </w:rPr>
              <w:t xml:space="preserve">  As their knowledge of the law increases over the next few weeks, this question can be reconsidered.</w:t>
            </w:r>
          </w:p>
        </w:tc>
      </w:tr>
      <w:tr w:rsidR="00DC54EA" w:rsidRPr="007667C7" w14:paraId="76398CF6" w14:textId="77777777">
        <w:tc>
          <w:tcPr>
            <w:tcW w:w="10440" w:type="dxa"/>
            <w:tcBorders>
              <w:left w:val="single" w:sz="12" w:space="0" w:color="auto"/>
              <w:bottom w:val="single" w:sz="12" w:space="0" w:color="auto"/>
              <w:right w:val="single" w:sz="12" w:space="0" w:color="auto"/>
            </w:tcBorders>
          </w:tcPr>
          <w:p w14:paraId="46A2FFBB" w14:textId="77777777" w:rsidR="00DC54EA" w:rsidRPr="007667C7" w:rsidRDefault="00DC54EA">
            <w:pPr>
              <w:ind w:left="360" w:right="200"/>
              <w:jc w:val="both"/>
              <w:rPr>
                <w:rFonts w:ascii="Arial" w:hAnsi="Arial"/>
                <w:b/>
                <w:sz w:val="20"/>
              </w:rPr>
            </w:pPr>
          </w:p>
        </w:tc>
      </w:tr>
    </w:tbl>
    <w:p w14:paraId="18E1A604" w14:textId="77777777" w:rsidR="00DC54EA" w:rsidRPr="007667C7" w:rsidRDefault="00DC54EA">
      <w:pPr>
        <w:jc w:val="both"/>
        <w:rPr>
          <w:rFonts w:ascii="Arial" w:hAnsi="Arial"/>
          <w:b/>
          <w:smallCaps/>
          <w:sz w:val="20"/>
        </w:rPr>
      </w:pPr>
    </w:p>
    <w:p w14:paraId="23AAA99E" w14:textId="77777777" w:rsidR="00DC54EA" w:rsidRPr="007667C7" w:rsidRDefault="00DC54EA">
      <w:pPr>
        <w:jc w:val="both"/>
        <w:rPr>
          <w:rFonts w:ascii="Arial" w:hAnsi="Arial"/>
          <w:b/>
          <w:smallCaps/>
          <w:sz w:val="20"/>
        </w:rPr>
      </w:pPr>
    </w:p>
    <w:p w14:paraId="6539D4C8" w14:textId="77777777" w:rsidR="00DC54EA" w:rsidRPr="007667C7" w:rsidRDefault="00DC54EA">
      <w:pPr>
        <w:pStyle w:val="Heading7"/>
        <w:rPr>
          <w:rFonts w:ascii="Arial" w:hAnsi="Arial"/>
          <w:b/>
        </w:rPr>
      </w:pPr>
      <w:r w:rsidRPr="007667C7">
        <w:rPr>
          <w:rFonts w:ascii="Arial" w:hAnsi="Arial"/>
          <w:b/>
        </w:rPr>
        <w:t>Discussion Questions</w:t>
      </w:r>
    </w:p>
    <w:p w14:paraId="76A4FA4F" w14:textId="77777777" w:rsidR="00DC54EA" w:rsidRPr="007667C7" w:rsidRDefault="00DC54EA">
      <w:pPr>
        <w:jc w:val="both"/>
        <w:rPr>
          <w:rFonts w:ascii="Arial" w:hAnsi="Arial"/>
          <w:sz w:val="20"/>
        </w:rPr>
      </w:pPr>
    </w:p>
    <w:p w14:paraId="322399FE" w14:textId="77777777" w:rsidR="00DC54EA" w:rsidRPr="007667C7" w:rsidRDefault="00DC54EA">
      <w:pPr>
        <w:jc w:val="both"/>
        <w:rPr>
          <w:rFonts w:ascii="Arial" w:hAnsi="Arial"/>
          <w:sz w:val="20"/>
        </w:rPr>
      </w:pPr>
      <w:r w:rsidRPr="007667C7">
        <w:rPr>
          <w:rFonts w:ascii="Arial" w:hAnsi="Arial"/>
          <w:b/>
          <w:sz w:val="20"/>
        </w:rPr>
        <w:t>1.</w:t>
      </w:r>
      <w:r w:rsidRPr="007667C7">
        <w:rPr>
          <w:rFonts w:ascii="Arial" w:hAnsi="Arial"/>
          <w:b/>
          <w:sz w:val="20"/>
        </w:rPr>
        <w:tab/>
      </w:r>
      <w:r w:rsidRPr="007667C7">
        <w:rPr>
          <w:rFonts w:ascii="Arial" w:hAnsi="Arial"/>
          <w:b/>
          <w:i/>
          <w:sz w:val="20"/>
        </w:rPr>
        <w:t xml:space="preserve">If justice is defined as the fair, impartial consideration of opposing interests, </w:t>
      </w:r>
      <w:proofErr w:type="gramStart"/>
      <w:r w:rsidRPr="007667C7">
        <w:rPr>
          <w:rFonts w:ascii="Arial" w:hAnsi="Arial"/>
          <w:b/>
          <w:i/>
          <w:sz w:val="20"/>
        </w:rPr>
        <w:t>are</w:t>
      </w:r>
      <w:proofErr w:type="gramEnd"/>
      <w:r w:rsidRPr="007667C7">
        <w:rPr>
          <w:rFonts w:ascii="Arial" w:hAnsi="Arial"/>
          <w:b/>
          <w:i/>
          <w:sz w:val="20"/>
        </w:rPr>
        <w:t xml:space="preserve"> law and justice the same thing?</w:t>
      </w:r>
      <w:r w:rsidRPr="007667C7">
        <w:rPr>
          <w:rFonts w:ascii="Arial" w:hAnsi="Arial"/>
          <w:sz w:val="20"/>
        </w:rPr>
        <w:t xml:space="preserve">  No.  There can be law without justice—as happened in Nazi-occupied Europe, for ex</w:t>
      </w:r>
      <w:r w:rsidRPr="007667C7">
        <w:rPr>
          <w:rFonts w:ascii="Arial" w:hAnsi="Arial"/>
          <w:sz w:val="20"/>
        </w:rPr>
        <w:softHyphen/>
        <w:t>ample.  There</w:t>
      </w:r>
      <w:r w:rsidR="00D80989" w:rsidRPr="007667C7">
        <w:rPr>
          <w:rFonts w:ascii="Arial" w:hAnsi="Arial"/>
          <w:sz w:val="20"/>
        </w:rPr>
        <w:t xml:space="preserve"> cannot be justice without law.</w:t>
      </w:r>
    </w:p>
    <w:p w14:paraId="1AD77154" w14:textId="77777777" w:rsidR="00DC54EA" w:rsidRPr="007667C7" w:rsidRDefault="00DC54EA">
      <w:pPr>
        <w:jc w:val="both"/>
        <w:rPr>
          <w:rFonts w:ascii="Arial" w:hAnsi="Arial"/>
          <w:sz w:val="20"/>
        </w:rPr>
      </w:pPr>
    </w:p>
    <w:p w14:paraId="56236500" w14:textId="77777777" w:rsidR="00DC54EA" w:rsidRPr="007667C7" w:rsidRDefault="00DC54EA">
      <w:pPr>
        <w:jc w:val="both"/>
        <w:rPr>
          <w:rFonts w:ascii="Arial" w:hAnsi="Arial"/>
          <w:sz w:val="20"/>
        </w:rPr>
      </w:pPr>
      <w:r w:rsidRPr="007667C7">
        <w:rPr>
          <w:rFonts w:ascii="Arial" w:hAnsi="Arial"/>
          <w:b/>
          <w:sz w:val="20"/>
        </w:rPr>
        <w:t>2.</w:t>
      </w:r>
      <w:r w:rsidRPr="007667C7">
        <w:rPr>
          <w:rFonts w:ascii="Arial" w:hAnsi="Arial"/>
          <w:b/>
          <w:sz w:val="20"/>
        </w:rPr>
        <w:tab/>
      </w:r>
      <w:r w:rsidRPr="007667C7">
        <w:rPr>
          <w:rFonts w:ascii="Arial" w:hAnsi="Arial"/>
          <w:b/>
          <w:i/>
          <w:sz w:val="20"/>
        </w:rPr>
        <w:t xml:space="preserve">Which of the schools of </w:t>
      </w:r>
      <w:r w:rsidR="00410784" w:rsidRPr="007667C7">
        <w:rPr>
          <w:rFonts w:ascii="Arial" w:hAnsi="Arial"/>
          <w:b/>
          <w:i/>
          <w:sz w:val="20"/>
        </w:rPr>
        <w:t>legal</w:t>
      </w:r>
      <w:r w:rsidRPr="007667C7">
        <w:rPr>
          <w:rFonts w:ascii="Arial" w:hAnsi="Arial"/>
          <w:b/>
          <w:i/>
          <w:sz w:val="20"/>
        </w:rPr>
        <w:t xml:space="preserve"> thought matches the U.S. system?</w:t>
      </w:r>
      <w:r w:rsidRPr="007667C7">
        <w:rPr>
          <w:rFonts w:ascii="Arial" w:hAnsi="Arial"/>
          <w:b/>
          <w:sz w:val="20"/>
        </w:rPr>
        <w:t xml:space="preserve"> </w:t>
      </w:r>
      <w:r w:rsidRPr="007667C7">
        <w:rPr>
          <w:rFonts w:ascii="Arial" w:hAnsi="Arial"/>
          <w:sz w:val="20"/>
        </w:rPr>
        <w:t xml:space="preserve"> None of the approaches mentioned in these sections is an exact model of the American legal system.  They rep</w:t>
      </w:r>
      <w:r w:rsidRPr="007667C7">
        <w:rPr>
          <w:rFonts w:ascii="Arial" w:hAnsi="Arial"/>
          <w:sz w:val="20"/>
        </w:rPr>
        <w:softHyphen/>
        <w:t>re</w:t>
      </w:r>
      <w:r w:rsidRPr="007667C7">
        <w:rPr>
          <w:rFonts w:ascii="Arial" w:hAnsi="Arial"/>
          <w:sz w:val="20"/>
        </w:rPr>
        <w:softHyphen/>
        <w:t>sent frameworks that can be used in evaluating the moral and ethical considerations that are an integral part of the law.</w:t>
      </w:r>
    </w:p>
    <w:p w14:paraId="26E6A7C3" w14:textId="77777777" w:rsidR="00DC54EA" w:rsidRPr="007667C7" w:rsidRDefault="00DC54EA">
      <w:pPr>
        <w:jc w:val="both"/>
        <w:rPr>
          <w:rFonts w:ascii="Arial" w:hAnsi="Arial"/>
          <w:sz w:val="20"/>
        </w:rPr>
      </w:pPr>
    </w:p>
    <w:p w14:paraId="79BEB9DB" w14:textId="77777777" w:rsidR="00DC54EA" w:rsidRPr="007667C7" w:rsidRDefault="00DC54EA">
      <w:pPr>
        <w:jc w:val="both"/>
        <w:rPr>
          <w:rFonts w:ascii="Arial" w:hAnsi="Arial"/>
          <w:sz w:val="20"/>
        </w:rPr>
      </w:pPr>
      <w:r w:rsidRPr="007667C7">
        <w:rPr>
          <w:rFonts w:ascii="Arial" w:hAnsi="Arial"/>
          <w:b/>
          <w:sz w:val="20"/>
        </w:rPr>
        <w:t>3.</w:t>
      </w:r>
      <w:r w:rsidRPr="007667C7">
        <w:rPr>
          <w:rFonts w:ascii="Arial" w:hAnsi="Arial"/>
          <w:b/>
          <w:sz w:val="20"/>
        </w:rPr>
        <w:tab/>
      </w:r>
      <w:r w:rsidRPr="007667C7">
        <w:rPr>
          <w:rFonts w:ascii="Arial" w:hAnsi="Arial"/>
          <w:b/>
          <w:i/>
          <w:sz w:val="20"/>
        </w:rPr>
        <w:t>What is the common law?</w:t>
      </w:r>
      <w:r w:rsidRPr="007667C7">
        <w:rPr>
          <w:rFonts w:ascii="Arial" w:hAnsi="Arial"/>
          <w:b/>
          <w:sz w:val="20"/>
        </w:rPr>
        <w:t xml:space="preserve"> </w:t>
      </w:r>
      <w:r w:rsidRPr="007667C7">
        <w:rPr>
          <w:rFonts w:ascii="Arial" w:hAnsi="Arial"/>
          <w:sz w:val="20"/>
        </w:rPr>
        <w:t xml:space="preserve"> Students may most usefully understand common law to be case law—that is, the body of law derived from judicial decisions.  The body of common law originated in England.  The term common law is sometimes used to refer to the entire common law system to distinguish it from the civil law sys</w:t>
      </w:r>
      <w:r w:rsidRPr="007667C7">
        <w:rPr>
          <w:rFonts w:ascii="Arial" w:hAnsi="Arial"/>
          <w:sz w:val="20"/>
        </w:rPr>
        <w:softHyphen/>
        <w:t>tem.</w:t>
      </w:r>
    </w:p>
    <w:p w14:paraId="24ECF47B" w14:textId="77777777" w:rsidR="00DC54EA" w:rsidRPr="007667C7" w:rsidRDefault="00DC54EA">
      <w:pPr>
        <w:jc w:val="both"/>
        <w:rPr>
          <w:rFonts w:ascii="Arial" w:hAnsi="Arial"/>
          <w:sz w:val="20"/>
        </w:rPr>
      </w:pPr>
    </w:p>
    <w:p w14:paraId="316BD825" w14:textId="77777777" w:rsidR="00DC54EA" w:rsidRPr="007667C7" w:rsidRDefault="00DC54EA">
      <w:pPr>
        <w:jc w:val="both"/>
        <w:rPr>
          <w:rFonts w:ascii="Arial" w:hAnsi="Arial"/>
          <w:sz w:val="20"/>
        </w:rPr>
      </w:pPr>
      <w:r w:rsidRPr="007667C7">
        <w:rPr>
          <w:rFonts w:ascii="Arial" w:hAnsi="Arial"/>
          <w:b/>
          <w:sz w:val="20"/>
        </w:rPr>
        <w:t>4.</w:t>
      </w:r>
      <w:r w:rsidRPr="007667C7">
        <w:rPr>
          <w:rFonts w:ascii="Arial" w:hAnsi="Arial"/>
          <w:b/>
          <w:sz w:val="20"/>
        </w:rPr>
        <w:tab/>
      </w:r>
      <w:r w:rsidRPr="007667C7">
        <w:rPr>
          <w:rFonts w:ascii="Arial" w:hAnsi="Arial"/>
          <w:b/>
          <w:i/>
          <w:sz w:val="20"/>
        </w:rPr>
        <w:t>What is the supreme law of the land?</w:t>
      </w:r>
      <w:r w:rsidRPr="007667C7">
        <w:rPr>
          <w:rFonts w:ascii="Arial" w:hAnsi="Arial"/>
          <w:sz w:val="20"/>
        </w:rPr>
        <w:t xml:space="preserve">  The federal constitution is the supreme law of the land.  </w:t>
      </w:r>
      <w:r w:rsidRPr="007667C7">
        <w:rPr>
          <w:rFonts w:ascii="Arial" w:hAnsi="Arial"/>
          <w:b/>
          <w:i/>
          <w:sz w:val="20"/>
        </w:rPr>
        <w:t>What are statutes?</w:t>
      </w:r>
      <w:r w:rsidRPr="007667C7">
        <w:rPr>
          <w:rFonts w:ascii="Arial" w:hAnsi="Arial"/>
          <w:b/>
          <w:sz w:val="20"/>
        </w:rPr>
        <w:t xml:space="preserve"> </w:t>
      </w:r>
      <w:r w:rsidRPr="007667C7">
        <w:rPr>
          <w:rFonts w:ascii="Arial" w:hAnsi="Arial"/>
          <w:sz w:val="20"/>
        </w:rPr>
        <w:t xml:space="preserve"> Laws enacted by Congress or a state legislative body.  </w:t>
      </w:r>
      <w:r w:rsidRPr="007667C7">
        <w:rPr>
          <w:rFonts w:ascii="Arial" w:hAnsi="Arial"/>
          <w:b/>
          <w:i/>
          <w:sz w:val="20"/>
        </w:rPr>
        <w:t>What are ordinances?</w:t>
      </w:r>
      <w:r w:rsidRPr="007667C7">
        <w:rPr>
          <w:rFonts w:ascii="Arial" w:hAnsi="Arial"/>
          <w:b/>
          <w:sz w:val="20"/>
        </w:rPr>
        <w:t xml:space="preserve"> </w:t>
      </w:r>
      <w:r w:rsidRPr="007667C7">
        <w:rPr>
          <w:rFonts w:ascii="Arial" w:hAnsi="Arial"/>
          <w:sz w:val="20"/>
        </w:rPr>
        <w:t xml:space="preserve"> Laws enacted by local legislative bodies.  </w:t>
      </w:r>
      <w:r w:rsidRPr="007667C7">
        <w:rPr>
          <w:rFonts w:ascii="Arial" w:hAnsi="Arial"/>
          <w:b/>
          <w:i/>
          <w:sz w:val="20"/>
        </w:rPr>
        <w:t>What are administrative rules?</w:t>
      </w:r>
      <w:r w:rsidRPr="007667C7">
        <w:rPr>
          <w:rFonts w:ascii="Arial" w:hAnsi="Arial"/>
          <w:b/>
          <w:sz w:val="20"/>
        </w:rPr>
        <w:t xml:space="preserve"> </w:t>
      </w:r>
      <w:r w:rsidRPr="007667C7">
        <w:rPr>
          <w:rFonts w:ascii="Arial" w:hAnsi="Arial"/>
          <w:sz w:val="20"/>
        </w:rPr>
        <w:t xml:space="preserve"> Laws issued by administrative agen</w:t>
      </w:r>
      <w:r w:rsidRPr="007667C7">
        <w:rPr>
          <w:rFonts w:ascii="Arial" w:hAnsi="Arial"/>
          <w:sz w:val="20"/>
        </w:rPr>
        <w:softHyphen/>
        <w:t>cies under the authority given to them in statutes.</w:t>
      </w:r>
    </w:p>
    <w:p w14:paraId="114FC588" w14:textId="77777777" w:rsidR="00DC54EA" w:rsidRPr="007667C7" w:rsidRDefault="00DC54EA">
      <w:pPr>
        <w:jc w:val="both"/>
        <w:rPr>
          <w:rFonts w:ascii="Arial" w:hAnsi="Arial"/>
          <w:b/>
          <w:sz w:val="20"/>
        </w:rPr>
      </w:pPr>
    </w:p>
    <w:p w14:paraId="3C59ADD3" w14:textId="77777777" w:rsidR="00DC54EA" w:rsidRPr="007667C7" w:rsidRDefault="00DC54EA">
      <w:pPr>
        <w:jc w:val="both"/>
        <w:rPr>
          <w:rFonts w:ascii="Arial" w:hAnsi="Arial"/>
          <w:sz w:val="20"/>
        </w:rPr>
      </w:pPr>
      <w:r w:rsidRPr="007667C7">
        <w:rPr>
          <w:rFonts w:ascii="Arial" w:hAnsi="Arial"/>
          <w:b/>
          <w:sz w:val="20"/>
        </w:rPr>
        <w:t>5.</w:t>
      </w:r>
      <w:r w:rsidRPr="007667C7">
        <w:rPr>
          <w:rFonts w:ascii="Arial" w:hAnsi="Arial"/>
          <w:b/>
          <w:sz w:val="20"/>
        </w:rPr>
        <w:tab/>
      </w:r>
      <w:r w:rsidRPr="007667C7">
        <w:rPr>
          <w:rFonts w:ascii="Arial" w:hAnsi="Arial"/>
          <w:b/>
          <w:i/>
          <w:sz w:val="20"/>
        </w:rPr>
        <w:t>What is the Uniform Commercial Code?</w:t>
      </w:r>
      <w:r w:rsidRPr="007667C7">
        <w:rPr>
          <w:rFonts w:ascii="Arial" w:hAnsi="Arial"/>
          <w:b/>
          <w:sz w:val="20"/>
        </w:rPr>
        <w:t xml:space="preserve"> </w:t>
      </w:r>
      <w:r w:rsidRPr="007667C7">
        <w:rPr>
          <w:rFonts w:ascii="Arial" w:hAnsi="Arial"/>
          <w:sz w:val="20"/>
        </w:rPr>
        <w:t xml:space="preserve"> A uniform law drafted by the National Conference of Commissioners on Uniform State Laws and the American Law Institute, governing commercial transactions (sales of goods, commercial paper, bank deposits and collections, letters of credit, bulk transfers, warehouse re</w:t>
      </w:r>
      <w:r w:rsidRPr="007667C7">
        <w:rPr>
          <w:rFonts w:ascii="Arial" w:hAnsi="Arial"/>
          <w:sz w:val="20"/>
        </w:rPr>
        <w:softHyphen/>
        <w:t xml:space="preserve">ceipts, bills of </w:t>
      </w:r>
      <w:r w:rsidRPr="007667C7">
        <w:rPr>
          <w:rFonts w:ascii="Arial" w:hAnsi="Arial"/>
          <w:sz w:val="20"/>
        </w:rPr>
        <w:lastRenderedPageBreak/>
        <w:t>lading, investment securities, and secured transactions).  Uniform laws are often adopted in whole or in substantial part by the states.  The UCC has been adopted by all states (except Louisiana which has not adopted Article 2).</w:t>
      </w:r>
    </w:p>
    <w:p w14:paraId="576E5310" w14:textId="77777777" w:rsidR="00DC54EA" w:rsidRPr="004A28D8" w:rsidRDefault="00DC54EA">
      <w:pPr>
        <w:jc w:val="both"/>
        <w:rPr>
          <w:rFonts w:ascii="Arial" w:hAnsi="Arial"/>
          <w:sz w:val="20"/>
        </w:rPr>
      </w:pPr>
    </w:p>
    <w:p w14:paraId="3E757DBB" w14:textId="77777777" w:rsidR="00DC54EA" w:rsidRPr="004A28D8" w:rsidRDefault="00DC54EA">
      <w:pPr>
        <w:jc w:val="both"/>
        <w:rPr>
          <w:rFonts w:ascii="Arial" w:hAnsi="Arial"/>
          <w:sz w:val="20"/>
        </w:rPr>
      </w:pPr>
      <w:r w:rsidRPr="004A28D8">
        <w:rPr>
          <w:rFonts w:ascii="Arial" w:hAnsi="Arial"/>
          <w:b/>
          <w:sz w:val="20"/>
        </w:rPr>
        <w:t>6.</w:t>
      </w:r>
      <w:r w:rsidRPr="004A28D8">
        <w:rPr>
          <w:rFonts w:ascii="Arial" w:hAnsi="Arial"/>
          <w:b/>
          <w:sz w:val="20"/>
        </w:rPr>
        <w:tab/>
      </w:r>
      <w:r w:rsidRPr="004A28D8">
        <w:rPr>
          <w:rFonts w:ascii="Arial" w:hAnsi="Arial"/>
          <w:b/>
          <w:i/>
          <w:sz w:val="20"/>
        </w:rPr>
        <w:t>Discuss the differences within the classification of law as civil law and criminal law.</w:t>
      </w:r>
      <w:r w:rsidRPr="004A28D8">
        <w:rPr>
          <w:rFonts w:ascii="Arial" w:hAnsi="Arial"/>
          <w:b/>
          <w:sz w:val="20"/>
        </w:rPr>
        <w:t xml:space="preserve"> </w:t>
      </w:r>
      <w:r w:rsidRPr="004A28D8">
        <w:rPr>
          <w:rFonts w:ascii="Arial" w:hAnsi="Arial"/>
          <w:sz w:val="20"/>
        </w:rPr>
        <w:t xml:space="preserve"> Civil law con</w:t>
      </w:r>
      <w:r w:rsidRPr="004A28D8">
        <w:rPr>
          <w:rFonts w:ascii="Arial" w:hAnsi="Arial"/>
          <w:sz w:val="20"/>
        </w:rPr>
        <w:softHyphen/>
        <w:t>cerns rights and duties of individuals between themselves; crimi</w:t>
      </w:r>
      <w:r w:rsidRPr="004A28D8">
        <w:rPr>
          <w:rFonts w:ascii="Arial" w:hAnsi="Arial"/>
          <w:sz w:val="20"/>
        </w:rPr>
        <w:softHyphen/>
        <w:t>nal law concerns offenses against soci</w:t>
      </w:r>
      <w:r w:rsidRPr="004A28D8">
        <w:rPr>
          <w:rFonts w:ascii="Arial" w:hAnsi="Arial"/>
          <w:sz w:val="20"/>
        </w:rPr>
        <w:softHyphen/>
        <w:t>ety as a whole.  (Civil law is a term that is also used to refer to a legal system based on a code rather than on case law.)</w:t>
      </w:r>
    </w:p>
    <w:p w14:paraId="3C653E82" w14:textId="77777777" w:rsidR="00DC54EA" w:rsidRPr="004A28D8" w:rsidRDefault="00DC54EA">
      <w:pPr>
        <w:jc w:val="both"/>
        <w:rPr>
          <w:rFonts w:ascii="Arial" w:hAnsi="Arial"/>
          <w:sz w:val="20"/>
        </w:rPr>
      </w:pPr>
    </w:p>
    <w:p w14:paraId="131BD752" w14:textId="77777777" w:rsidR="00DC54EA" w:rsidRPr="004A28D8" w:rsidRDefault="00DC54EA">
      <w:pPr>
        <w:jc w:val="both"/>
        <w:rPr>
          <w:rFonts w:ascii="Arial" w:hAnsi="Arial"/>
          <w:sz w:val="20"/>
        </w:rPr>
      </w:pPr>
      <w:r w:rsidRPr="004A28D8">
        <w:rPr>
          <w:rFonts w:ascii="Arial" w:hAnsi="Arial"/>
          <w:b/>
          <w:sz w:val="20"/>
        </w:rPr>
        <w:t>7.</w:t>
      </w:r>
      <w:r w:rsidRPr="004A28D8">
        <w:rPr>
          <w:rFonts w:ascii="Arial" w:hAnsi="Arial"/>
          <w:b/>
          <w:sz w:val="20"/>
        </w:rPr>
        <w:tab/>
      </w:r>
      <w:r w:rsidRPr="004A28D8">
        <w:rPr>
          <w:rFonts w:ascii="Arial" w:hAnsi="Arial"/>
          <w:b/>
          <w:i/>
          <w:sz w:val="20"/>
        </w:rPr>
        <w:t>Discuss the differences between remedies at law and in equity.</w:t>
      </w:r>
      <w:r w:rsidRPr="004A28D8">
        <w:rPr>
          <w:rFonts w:ascii="Arial" w:hAnsi="Arial"/>
          <w:b/>
          <w:sz w:val="20"/>
        </w:rPr>
        <w:t xml:space="preserve"> </w:t>
      </w:r>
      <w:r w:rsidRPr="004A28D8">
        <w:rPr>
          <w:rFonts w:ascii="Arial" w:hAnsi="Arial"/>
          <w:sz w:val="20"/>
        </w:rPr>
        <w:t xml:space="preserve"> Remedies at law were once lim</w:t>
      </w:r>
      <w:r w:rsidRPr="004A28D8">
        <w:rPr>
          <w:rFonts w:ascii="Arial" w:hAnsi="Arial"/>
          <w:sz w:val="20"/>
        </w:rPr>
        <w:softHyphen/>
        <w:t>ited to payments of money or property (including land) as damages.  Remedies in equity were available only when there was no adequate remedy at law.  Today, in most states, either or both may be granted in the same action.  Remedies in equity are still discretionary, guided by equitable principles and maxims.  Remedies at law still include payments of money or property as damages.  Today, the major practical difference between actions at law and actions in equity is the right to demand a jury trial in an action at law.</w:t>
      </w:r>
    </w:p>
    <w:p w14:paraId="2E203351" w14:textId="77777777" w:rsidR="00DC54EA" w:rsidRPr="004A28D8" w:rsidRDefault="00DC54EA">
      <w:pPr>
        <w:jc w:val="both"/>
        <w:rPr>
          <w:rFonts w:ascii="Arial" w:hAnsi="Arial"/>
          <w:sz w:val="20"/>
        </w:rPr>
      </w:pPr>
    </w:p>
    <w:p w14:paraId="245D6BB1" w14:textId="77777777" w:rsidR="00DC54EA" w:rsidRPr="004A28D8" w:rsidRDefault="00DC54EA">
      <w:pPr>
        <w:jc w:val="both"/>
        <w:rPr>
          <w:rFonts w:ascii="Arial" w:hAnsi="Arial"/>
          <w:sz w:val="20"/>
        </w:rPr>
      </w:pPr>
      <w:r w:rsidRPr="004A28D8">
        <w:rPr>
          <w:rFonts w:ascii="Arial" w:hAnsi="Arial"/>
          <w:b/>
          <w:sz w:val="20"/>
        </w:rPr>
        <w:t>8.</w:t>
      </w:r>
      <w:r w:rsidRPr="004A28D8">
        <w:rPr>
          <w:rFonts w:ascii="Arial" w:hAnsi="Arial"/>
          <w:b/>
          <w:sz w:val="20"/>
        </w:rPr>
        <w:tab/>
      </w:r>
      <w:r w:rsidRPr="004A28D8">
        <w:rPr>
          <w:rFonts w:ascii="Arial" w:hAnsi="Arial"/>
          <w:b/>
          <w:i/>
          <w:sz w:val="20"/>
        </w:rPr>
        <w:t>Identify and describe remedies available in equity.</w:t>
      </w:r>
      <w:r w:rsidRPr="004A28D8">
        <w:rPr>
          <w:rFonts w:ascii="Arial" w:hAnsi="Arial"/>
          <w:b/>
          <w:sz w:val="20"/>
        </w:rPr>
        <w:t xml:space="preserve"> </w:t>
      </w:r>
      <w:r w:rsidRPr="004A28D8">
        <w:rPr>
          <w:rFonts w:ascii="Arial" w:hAnsi="Arial"/>
          <w:sz w:val="20"/>
        </w:rPr>
        <w:t xml:space="preserve"> Three are discussed briefly in the </w:t>
      </w:r>
      <w:proofErr w:type="gramStart"/>
      <w:r w:rsidRPr="004A28D8">
        <w:rPr>
          <w:rFonts w:ascii="Arial" w:hAnsi="Arial"/>
          <w:sz w:val="20"/>
        </w:rPr>
        <w:t>text  Specific</w:t>
      </w:r>
      <w:proofErr w:type="gramEnd"/>
      <w:r w:rsidRPr="004A28D8">
        <w:rPr>
          <w:rFonts w:ascii="Arial" w:hAnsi="Arial"/>
          <w:sz w:val="20"/>
        </w:rPr>
        <w:t xml:space="preserve"> per</w:t>
      </w:r>
      <w:r w:rsidRPr="004A28D8">
        <w:rPr>
          <w:rFonts w:ascii="Arial" w:hAnsi="Arial"/>
          <w:sz w:val="20"/>
        </w:rPr>
        <w:softHyphen/>
        <w:t>formance is available only when a dispute involves a contract.  The court may order a party to per</w:t>
      </w:r>
      <w:r w:rsidRPr="004A28D8">
        <w:rPr>
          <w:rFonts w:ascii="Arial" w:hAnsi="Arial"/>
          <w:sz w:val="20"/>
        </w:rPr>
        <w:softHyphen/>
        <w:t>form what was promised.  An injunction orders a person to do or refrain from doing a particular act.  Rescission undoes an agreement, and the parties are returned to the positions they were in before the agreement.</w:t>
      </w:r>
    </w:p>
    <w:p w14:paraId="2EF920CC" w14:textId="77777777" w:rsidR="00410784" w:rsidRPr="004A28D8" w:rsidRDefault="00410784" w:rsidP="00410784">
      <w:pPr>
        <w:jc w:val="both"/>
        <w:rPr>
          <w:rFonts w:ascii="Arial" w:hAnsi="Arial"/>
          <w:sz w:val="20"/>
        </w:rPr>
      </w:pPr>
    </w:p>
    <w:p w14:paraId="266BEE21" w14:textId="77777777" w:rsidR="00410784" w:rsidRPr="007667C7" w:rsidRDefault="00410784" w:rsidP="00410784">
      <w:pPr>
        <w:jc w:val="both"/>
        <w:rPr>
          <w:rFonts w:ascii="Arial" w:hAnsi="Arial"/>
          <w:sz w:val="20"/>
        </w:rPr>
      </w:pPr>
      <w:r w:rsidRPr="007667C7">
        <w:rPr>
          <w:rFonts w:ascii="Arial" w:hAnsi="Arial"/>
          <w:b/>
          <w:sz w:val="20"/>
        </w:rPr>
        <w:t>9.</w:t>
      </w:r>
      <w:r w:rsidRPr="007667C7">
        <w:rPr>
          <w:rFonts w:ascii="Arial" w:hAnsi="Arial"/>
          <w:b/>
          <w:sz w:val="20"/>
        </w:rPr>
        <w:tab/>
      </w:r>
      <w:r w:rsidRPr="007667C7">
        <w:rPr>
          <w:rFonts w:ascii="Arial" w:hAnsi="Arial"/>
          <w:b/>
          <w:i/>
          <w:sz w:val="20"/>
        </w:rPr>
        <w:t xml:space="preserve">What is the primary function of law?  </w:t>
      </w:r>
      <w:r w:rsidRPr="007667C7">
        <w:rPr>
          <w:rFonts w:ascii="Arial" w:hAnsi="Arial"/>
          <w:sz w:val="20"/>
        </w:rPr>
        <w:t>T</w:t>
      </w:r>
      <w:r w:rsidR="00344328" w:rsidRPr="007667C7">
        <w:rPr>
          <w:rFonts w:ascii="Arial" w:hAnsi="Arial"/>
          <w:sz w:val="20"/>
        </w:rPr>
        <w:t>he primary function of law is t</w:t>
      </w:r>
      <w:r w:rsidRPr="007667C7">
        <w:rPr>
          <w:rFonts w:ascii="Arial" w:hAnsi="Arial"/>
          <w:sz w:val="20"/>
        </w:rPr>
        <w:t>o simultaneously maintain stability and permit change.  The law does this by providing for dispute resolution, the preservation of political, economic, and social institu</w:t>
      </w:r>
      <w:r w:rsidRPr="007667C7">
        <w:rPr>
          <w:rFonts w:ascii="Arial" w:hAnsi="Arial"/>
          <w:sz w:val="20"/>
        </w:rPr>
        <w:softHyphen/>
        <w:t>tions, and the protection of property.</w:t>
      </w:r>
    </w:p>
    <w:p w14:paraId="3B1CF747" w14:textId="77777777" w:rsidR="00FC2A00" w:rsidRPr="007667C7" w:rsidRDefault="00FC2A00" w:rsidP="00410784">
      <w:pPr>
        <w:jc w:val="both"/>
        <w:rPr>
          <w:rFonts w:ascii="Arial" w:hAnsi="Arial"/>
          <w:b/>
          <w:sz w:val="20"/>
        </w:rPr>
      </w:pPr>
    </w:p>
    <w:p w14:paraId="159B2E6C" w14:textId="76EB4758" w:rsidR="00410784" w:rsidRPr="007667C7" w:rsidRDefault="00410784" w:rsidP="00410784">
      <w:pPr>
        <w:jc w:val="both"/>
        <w:rPr>
          <w:rFonts w:ascii="Arial" w:hAnsi="Arial"/>
          <w:sz w:val="20"/>
        </w:rPr>
      </w:pPr>
      <w:r w:rsidRPr="007667C7">
        <w:rPr>
          <w:rFonts w:ascii="Arial" w:hAnsi="Arial"/>
          <w:b/>
          <w:sz w:val="20"/>
        </w:rPr>
        <w:t>10.</w:t>
      </w:r>
      <w:r w:rsidRPr="007667C7">
        <w:rPr>
          <w:rFonts w:ascii="Arial" w:hAnsi="Arial"/>
          <w:b/>
          <w:sz w:val="20"/>
        </w:rPr>
        <w:tab/>
      </w:r>
      <w:r w:rsidRPr="007667C7">
        <w:rPr>
          <w:rFonts w:ascii="Arial" w:hAnsi="Arial"/>
          <w:b/>
          <w:i/>
          <w:sz w:val="20"/>
        </w:rPr>
        <w:t xml:space="preserve">What is </w:t>
      </w:r>
      <w:r w:rsidRPr="007667C7">
        <w:rPr>
          <w:rFonts w:ascii="Arial" w:hAnsi="Arial"/>
          <w:b/>
          <w:sz w:val="20"/>
        </w:rPr>
        <w:t>stare decisis</w:t>
      </w:r>
      <w:r w:rsidRPr="007667C7">
        <w:rPr>
          <w:rFonts w:ascii="Arial" w:hAnsi="Arial"/>
          <w:b/>
          <w:i/>
          <w:sz w:val="20"/>
        </w:rPr>
        <w:t xml:space="preserve">?  Why is it important? </w:t>
      </w:r>
      <w:r w:rsidRPr="007667C7">
        <w:rPr>
          <w:rFonts w:ascii="Arial" w:hAnsi="Arial"/>
          <w:b/>
          <w:i/>
        </w:rPr>
        <w:t xml:space="preserve"> </w:t>
      </w:r>
      <w:r w:rsidRPr="007667C7">
        <w:rPr>
          <w:rFonts w:ascii="Arial" w:hAnsi="Arial"/>
          <w:i/>
          <w:sz w:val="20"/>
        </w:rPr>
        <w:t>Stare decisis</w:t>
      </w:r>
      <w:r w:rsidRPr="007667C7">
        <w:rPr>
          <w:rFonts w:ascii="Arial" w:hAnsi="Arial"/>
          <w:sz w:val="20"/>
        </w:rPr>
        <w:t xml:space="preserve"> is a doctrine that prescribes following earlier judicial decisions in deciding a current case if the facts and questions are similar.  Courts attempt to be consistent with their own prior decisions and with the decisions of courts superior to them.  </w:t>
      </w:r>
      <w:r w:rsidRPr="007667C7">
        <w:rPr>
          <w:rFonts w:ascii="Arial" w:hAnsi="Arial"/>
          <w:i/>
          <w:sz w:val="20"/>
        </w:rPr>
        <w:t>Stare decisis</w:t>
      </w:r>
      <w:r w:rsidRPr="007667C7">
        <w:rPr>
          <w:rFonts w:ascii="Arial" w:hAnsi="Arial"/>
          <w:sz w:val="20"/>
        </w:rPr>
        <w:t xml:space="preserve"> is im</w:t>
      </w:r>
      <w:r w:rsidRPr="007667C7">
        <w:rPr>
          <w:rFonts w:ascii="Arial" w:hAnsi="Arial"/>
          <w:sz w:val="20"/>
        </w:rPr>
        <w:softHyphen/>
        <w:t xml:space="preserve">portant because part of the function of law is to maintain stability.  If the application of the law </w:t>
      </w:r>
      <w:proofErr w:type="gramStart"/>
      <w:r w:rsidRPr="007667C7">
        <w:rPr>
          <w:rFonts w:ascii="Arial" w:hAnsi="Arial"/>
          <w:sz w:val="20"/>
        </w:rPr>
        <w:t>was</w:t>
      </w:r>
      <w:proofErr w:type="gramEnd"/>
      <w:r w:rsidRPr="007667C7">
        <w:rPr>
          <w:rFonts w:ascii="Arial" w:hAnsi="Arial"/>
          <w:sz w:val="20"/>
        </w:rPr>
        <w:t xml:space="preserve"> unpre</w:t>
      </w:r>
      <w:r w:rsidRPr="007667C7">
        <w:rPr>
          <w:rFonts w:ascii="Arial" w:hAnsi="Arial"/>
          <w:sz w:val="20"/>
        </w:rPr>
        <w:softHyphen/>
        <w:t>dictable, there would be no consistent rules to follow and no stability.</w:t>
      </w:r>
    </w:p>
    <w:p w14:paraId="7D50B52E" w14:textId="77777777" w:rsidR="00DC54EA" w:rsidRPr="007667C7" w:rsidRDefault="00DC54EA">
      <w:pPr>
        <w:jc w:val="both"/>
        <w:rPr>
          <w:rFonts w:ascii="Arial" w:hAnsi="Arial"/>
          <w:b/>
          <w:smallCaps/>
          <w:sz w:val="20"/>
        </w:rPr>
      </w:pPr>
    </w:p>
    <w:p w14:paraId="1C439EA6" w14:textId="77777777" w:rsidR="00DC54EA" w:rsidRPr="007667C7" w:rsidRDefault="00DC54EA">
      <w:pPr>
        <w:jc w:val="both"/>
        <w:rPr>
          <w:rFonts w:ascii="Arial" w:hAnsi="Arial"/>
          <w:b/>
          <w:smallCaps/>
          <w:sz w:val="20"/>
        </w:rPr>
      </w:pPr>
    </w:p>
    <w:p w14:paraId="692A005F" w14:textId="61471F74" w:rsidR="00DC54EA" w:rsidRPr="007667C7" w:rsidRDefault="00DC54EA">
      <w:pPr>
        <w:pStyle w:val="Heading7"/>
        <w:rPr>
          <w:rFonts w:ascii="Arial" w:hAnsi="Arial"/>
          <w:b/>
        </w:rPr>
      </w:pPr>
      <w:r w:rsidRPr="007667C7">
        <w:rPr>
          <w:rFonts w:ascii="Arial" w:hAnsi="Arial"/>
          <w:b/>
        </w:rPr>
        <w:t>Activity and Research Assignments</w:t>
      </w:r>
    </w:p>
    <w:p w14:paraId="0B5D33F3" w14:textId="77777777" w:rsidR="00DC54EA" w:rsidRPr="004A28D8" w:rsidRDefault="00DC54EA">
      <w:pPr>
        <w:jc w:val="both"/>
        <w:rPr>
          <w:rFonts w:ascii="Arial" w:hAnsi="Arial"/>
          <w:sz w:val="20"/>
        </w:rPr>
      </w:pPr>
    </w:p>
    <w:p w14:paraId="119EB949" w14:textId="77777777" w:rsidR="00DC54EA" w:rsidRPr="004A28D8" w:rsidRDefault="00DC54EA">
      <w:pPr>
        <w:jc w:val="both"/>
        <w:rPr>
          <w:rFonts w:ascii="Arial" w:hAnsi="Arial"/>
          <w:sz w:val="20"/>
        </w:rPr>
      </w:pPr>
      <w:r w:rsidRPr="004A28D8">
        <w:rPr>
          <w:rFonts w:ascii="Arial" w:hAnsi="Arial"/>
          <w:b/>
          <w:sz w:val="20"/>
        </w:rPr>
        <w:t>1.</w:t>
      </w:r>
      <w:r w:rsidRPr="004A28D8">
        <w:rPr>
          <w:rFonts w:ascii="Arial" w:hAnsi="Arial"/>
          <w:b/>
          <w:sz w:val="20"/>
        </w:rPr>
        <w:tab/>
      </w:r>
      <w:r w:rsidRPr="004A28D8">
        <w:rPr>
          <w:rFonts w:ascii="Arial" w:hAnsi="Arial"/>
          <w:sz w:val="20"/>
        </w:rPr>
        <w:t>Have students research the laws of other common law jurisdictions (England, India, Canada), other le</w:t>
      </w:r>
      <w:r w:rsidRPr="004A28D8">
        <w:rPr>
          <w:rFonts w:ascii="Arial" w:hAnsi="Arial"/>
          <w:sz w:val="20"/>
        </w:rPr>
        <w:softHyphen/>
        <w:t>gal systems (civil law systems, contemporary China, Moslem nations), and ancient civilizations (the Hebrews, the Babylonians, the Romans), and compare the laws to those of the United States.  In looking at other legal systems, have students consider how international law might develop, given the differences in le</w:t>
      </w:r>
      <w:r w:rsidRPr="004A28D8">
        <w:rPr>
          <w:rFonts w:ascii="Arial" w:hAnsi="Arial"/>
          <w:sz w:val="20"/>
        </w:rPr>
        <w:softHyphen/>
        <w:t>gal systems, laws, traditions, and customs.</w:t>
      </w:r>
    </w:p>
    <w:p w14:paraId="1136EE5A" w14:textId="77777777" w:rsidR="00DC54EA" w:rsidRPr="004A28D8" w:rsidRDefault="00DC54EA">
      <w:pPr>
        <w:jc w:val="both"/>
        <w:rPr>
          <w:rFonts w:ascii="Arial" w:hAnsi="Arial"/>
          <w:sz w:val="20"/>
        </w:rPr>
      </w:pPr>
    </w:p>
    <w:p w14:paraId="0362BB74" w14:textId="77777777" w:rsidR="00DC54EA" w:rsidRPr="004A28D8" w:rsidRDefault="00DC54EA">
      <w:pPr>
        <w:jc w:val="both"/>
        <w:rPr>
          <w:rFonts w:ascii="Arial" w:hAnsi="Arial"/>
          <w:sz w:val="20"/>
        </w:rPr>
      </w:pPr>
      <w:r w:rsidRPr="004A28D8">
        <w:rPr>
          <w:rFonts w:ascii="Arial" w:hAnsi="Arial"/>
          <w:b/>
          <w:sz w:val="20"/>
        </w:rPr>
        <w:t>2.</w:t>
      </w:r>
      <w:r w:rsidRPr="004A28D8">
        <w:rPr>
          <w:rFonts w:ascii="Arial" w:hAnsi="Arial"/>
          <w:b/>
          <w:sz w:val="20"/>
        </w:rPr>
        <w:tab/>
      </w:r>
      <w:r w:rsidRPr="004A28D8">
        <w:rPr>
          <w:rFonts w:ascii="Arial" w:hAnsi="Arial"/>
          <w:sz w:val="20"/>
        </w:rPr>
        <w:t>Assign specific cases and statutes for students to find.  If legal materials are not easily available, as</w:t>
      </w:r>
      <w:r w:rsidRPr="004A28D8">
        <w:rPr>
          <w:rFonts w:ascii="Arial" w:hAnsi="Arial"/>
          <w:sz w:val="20"/>
        </w:rPr>
        <w:softHyphen/>
        <w:t>sign a list of citations for students to decipher.</w:t>
      </w:r>
    </w:p>
    <w:p w14:paraId="7DBE12ED" w14:textId="77777777" w:rsidR="00DC54EA" w:rsidRPr="004A28D8" w:rsidRDefault="00DC54EA">
      <w:pPr>
        <w:jc w:val="both"/>
        <w:rPr>
          <w:rFonts w:ascii="Arial" w:hAnsi="Arial"/>
          <w:sz w:val="20"/>
        </w:rPr>
      </w:pPr>
    </w:p>
    <w:p w14:paraId="7FE8FA5E" w14:textId="77777777" w:rsidR="00DC54EA" w:rsidRPr="004A28D8" w:rsidRDefault="00DC54EA">
      <w:pPr>
        <w:jc w:val="both"/>
        <w:rPr>
          <w:rFonts w:ascii="Arial" w:hAnsi="Arial"/>
          <w:sz w:val="20"/>
        </w:rPr>
      </w:pPr>
      <w:r w:rsidRPr="004A28D8">
        <w:rPr>
          <w:rFonts w:ascii="Arial" w:hAnsi="Arial"/>
          <w:b/>
          <w:sz w:val="20"/>
        </w:rPr>
        <w:t>3.</w:t>
      </w:r>
      <w:r w:rsidRPr="004A28D8">
        <w:rPr>
          <w:rFonts w:ascii="Arial" w:hAnsi="Arial"/>
          <w:b/>
          <w:sz w:val="20"/>
        </w:rPr>
        <w:tab/>
      </w:r>
      <w:r w:rsidRPr="004A28D8">
        <w:rPr>
          <w:rFonts w:ascii="Arial" w:hAnsi="Arial"/>
          <w:sz w:val="20"/>
        </w:rPr>
        <w:t>Ask students to read newspapers and magazines, listen to radio news, watch television news, and surf the World Wide Web for developments in the law—new laws passed by Congress or signed by the president, laws interpreted by the courts, proposals for changes in the law.  The omnipresent effect of law on society should be easy to see.</w:t>
      </w:r>
    </w:p>
    <w:p w14:paraId="27D9D41F" w14:textId="77777777" w:rsidR="00DC54EA" w:rsidRPr="004A28D8" w:rsidRDefault="00DC54EA">
      <w:pPr>
        <w:jc w:val="both"/>
        <w:rPr>
          <w:rFonts w:ascii="Arial" w:hAnsi="Arial"/>
          <w:sz w:val="20"/>
        </w:rPr>
      </w:pPr>
    </w:p>
    <w:p w14:paraId="6AAB795C" w14:textId="77777777" w:rsidR="00DC54EA" w:rsidRPr="004A28D8" w:rsidRDefault="00DC54EA">
      <w:pPr>
        <w:jc w:val="both"/>
        <w:rPr>
          <w:rFonts w:ascii="Arial" w:hAnsi="Arial"/>
          <w:sz w:val="20"/>
        </w:rPr>
      </w:pPr>
    </w:p>
    <w:p w14:paraId="4F5B9EEE" w14:textId="77777777" w:rsidR="00DC54EA" w:rsidRPr="007667C7" w:rsidRDefault="00DC54EA">
      <w:pPr>
        <w:jc w:val="both"/>
        <w:rPr>
          <w:rFonts w:ascii="Arial" w:hAnsi="Arial"/>
          <w:b/>
          <w:smallCaps/>
          <w:sz w:val="28"/>
        </w:rPr>
      </w:pPr>
      <w:r w:rsidRPr="007667C7">
        <w:rPr>
          <w:rFonts w:ascii="Arial" w:hAnsi="Arial"/>
          <w:b/>
          <w:smallCaps/>
          <w:sz w:val="28"/>
        </w:rPr>
        <w:lastRenderedPageBreak/>
        <w:t>Explanations of Selected Footnotes in the Text</w:t>
      </w:r>
    </w:p>
    <w:p w14:paraId="08ECE881" w14:textId="77777777" w:rsidR="00DC54EA" w:rsidRPr="007667C7" w:rsidRDefault="00DC54EA">
      <w:pPr>
        <w:jc w:val="both"/>
        <w:rPr>
          <w:rFonts w:ascii="Arial" w:hAnsi="Arial"/>
          <w:sz w:val="16"/>
        </w:rPr>
      </w:pPr>
    </w:p>
    <w:p w14:paraId="03A060C1" w14:textId="77777777" w:rsidR="00DC54EA" w:rsidRPr="007667C7" w:rsidRDefault="00DC54EA">
      <w:pPr>
        <w:jc w:val="both"/>
        <w:rPr>
          <w:rFonts w:ascii="Arial" w:hAnsi="Arial"/>
          <w:sz w:val="20"/>
        </w:rPr>
      </w:pPr>
      <w:r w:rsidRPr="007667C7">
        <w:rPr>
          <w:rFonts w:ascii="Arial" w:hAnsi="Arial"/>
          <w:sz w:val="20"/>
        </w:rPr>
        <w:tab/>
      </w:r>
      <w:r w:rsidRPr="007667C7">
        <w:rPr>
          <w:rFonts w:ascii="Arial" w:hAnsi="Arial"/>
          <w:b/>
        </w:rPr>
        <w:t>Footnote 5:</w:t>
      </w:r>
      <w:r w:rsidRPr="007667C7">
        <w:rPr>
          <w:rFonts w:ascii="Arial" w:hAnsi="Arial"/>
        </w:rPr>
        <w:t xml:space="preserve"> </w:t>
      </w:r>
      <w:r w:rsidRPr="007667C7">
        <w:rPr>
          <w:rFonts w:ascii="Arial" w:hAnsi="Arial"/>
          <w:sz w:val="20"/>
        </w:rPr>
        <w:t xml:space="preserve">In </w:t>
      </w:r>
      <w:r w:rsidRPr="007667C7">
        <w:rPr>
          <w:rFonts w:ascii="Arial" w:hAnsi="Arial"/>
          <w:b/>
          <w:i/>
          <w:sz w:val="20"/>
        </w:rPr>
        <w:t>Brown v. Board of Education of Topeka</w:t>
      </w:r>
      <w:r w:rsidRPr="007667C7">
        <w:rPr>
          <w:rFonts w:ascii="Arial" w:hAnsi="Arial"/>
          <w:sz w:val="20"/>
        </w:rPr>
        <w:t>, the United States Supreme Court unanimously held that the sepa</w:t>
      </w:r>
      <w:r w:rsidRPr="007667C7">
        <w:rPr>
          <w:rFonts w:ascii="Arial" w:hAnsi="Arial"/>
          <w:sz w:val="20"/>
        </w:rPr>
        <w:softHyphen/>
        <w:t>rate but equal concept had no place in education.  The case involved four con</w:t>
      </w:r>
      <w:r w:rsidRPr="007667C7">
        <w:rPr>
          <w:rFonts w:ascii="Arial" w:hAnsi="Arial"/>
          <w:sz w:val="20"/>
        </w:rPr>
        <w:softHyphen/>
        <w:t>solidated cases focusing on the per</w:t>
      </w:r>
      <w:r w:rsidRPr="007667C7">
        <w:rPr>
          <w:rFonts w:ascii="Arial" w:hAnsi="Arial"/>
          <w:sz w:val="20"/>
        </w:rPr>
        <w:softHyphen/>
        <w:t>missibility of local governments conducting school systems that segre</w:t>
      </w:r>
      <w:r w:rsidRPr="007667C7">
        <w:rPr>
          <w:rFonts w:ascii="Arial" w:hAnsi="Arial"/>
          <w:sz w:val="20"/>
        </w:rPr>
        <w:softHyphen/>
        <w:t xml:space="preserve">gated students by race.  In each case blacks sought admission to public schools on a </w:t>
      </w:r>
      <w:proofErr w:type="spellStart"/>
      <w:r w:rsidRPr="007667C7">
        <w:rPr>
          <w:rFonts w:ascii="Arial" w:hAnsi="Arial"/>
          <w:sz w:val="20"/>
        </w:rPr>
        <w:t>nonsegregated</w:t>
      </w:r>
      <w:proofErr w:type="spellEnd"/>
      <w:r w:rsidRPr="007667C7">
        <w:rPr>
          <w:rFonts w:ascii="Arial" w:hAnsi="Arial"/>
          <w:sz w:val="20"/>
        </w:rPr>
        <w:t xml:space="preserve"> basis, and in each case the lower court based its decision on the separate but equal doctrine.  The Court inter</w:t>
      </w:r>
      <w:r w:rsidRPr="007667C7">
        <w:rPr>
          <w:rFonts w:ascii="Arial" w:hAnsi="Arial"/>
          <w:sz w:val="20"/>
        </w:rPr>
        <w:softHyphen/>
        <w:t xml:space="preserve">preted the principles of the U.S&gt; Constitution’s Fourteenth </w:t>
      </w:r>
      <w:proofErr w:type="gramStart"/>
      <w:r w:rsidRPr="007667C7">
        <w:rPr>
          <w:rFonts w:ascii="Arial" w:hAnsi="Arial"/>
          <w:sz w:val="20"/>
        </w:rPr>
        <w:t>Amendment</w:t>
      </w:r>
      <w:proofErr w:type="gramEnd"/>
      <w:r w:rsidRPr="007667C7">
        <w:rPr>
          <w:rFonts w:ascii="Arial" w:hAnsi="Arial"/>
          <w:sz w:val="20"/>
        </w:rPr>
        <w:t xml:space="preserve"> as they should apply to modern soci</w:t>
      </w:r>
      <w:r w:rsidRPr="007667C7">
        <w:rPr>
          <w:rFonts w:ascii="Arial" w:hAnsi="Arial"/>
          <w:sz w:val="20"/>
        </w:rPr>
        <w:softHyphen/>
        <w:t>ety and looked at the effects of segregation.  The justices found that segregation of children in public schools solely on the basis of race deprives the children of the mi</w:t>
      </w:r>
      <w:r w:rsidRPr="007667C7">
        <w:rPr>
          <w:rFonts w:ascii="Arial" w:hAnsi="Arial"/>
          <w:sz w:val="20"/>
        </w:rPr>
        <w:softHyphen/>
        <w:t>nority group of equal educational opportunities.  To separate black children “from others of similar age and qualifica</w:t>
      </w:r>
      <w:r w:rsidRPr="007667C7">
        <w:rPr>
          <w:rFonts w:ascii="Arial" w:hAnsi="Arial"/>
          <w:sz w:val="20"/>
        </w:rPr>
        <w:softHyphen/>
        <w:t>tions solely because of their race generates a feeling of inferiority as to their status in the community that may affect their hearts and minds in a way unlikely ever to be undone.”</w:t>
      </w:r>
    </w:p>
    <w:p w14:paraId="3AAC6EF5" w14:textId="77777777" w:rsidR="00D21A57" w:rsidRPr="007667C7" w:rsidRDefault="00D21A57" w:rsidP="00D21A57">
      <w:pPr>
        <w:jc w:val="both"/>
        <w:rPr>
          <w:rFonts w:ascii="Arial" w:hAnsi="Arial"/>
          <w:sz w:val="16"/>
        </w:rPr>
      </w:pPr>
    </w:p>
    <w:p w14:paraId="0429723E" w14:textId="77777777" w:rsidR="00D21A57" w:rsidRPr="007667C7" w:rsidRDefault="00D21A57" w:rsidP="00D21A57">
      <w:pPr>
        <w:jc w:val="both"/>
        <w:rPr>
          <w:rFonts w:ascii="Arial" w:hAnsi="Arial"/>
          <w:sz w:val="20"/>
        </w:rPr>
      </w:pPr>
      <w:r w:rsidRPr="007667C7">
        <w:rPr>
          <w:rFonts w:ascii="Arial" w:hAnsi="Arial"/>
          <w:sz w:val="20"/>
        </w:rPr>
        <w:tab/>
      </w:r>
      <w:r w:rsidRPr="007667C7">
        <w:rPr>
          <w:rFonts w:ascii="Arial" w:hAnsi="Arial"/>
          <w:b/>
        </w:rPr>
        <w:t>Footnote 6:</w:t>
      </w:r>
      <w:r w:rsidRPr="007667C7">
        <w:rPr>
          <w:rFonts w:ascii="Arial" w:hAnsi="Arial"/>
        </w:rPr>
        <w:t xml:space="preserve"> </w:t>
      </w:r>
      <w:r w:rsidRPr="007667C7">
        <w:rPr>
          <w:rFonts w:ascii="Arial" w:hAnsi="Arial"/>
          <w:sz w:val="20"/>
        </w:rPr>
        <w:t xml:space="preserve">In </w:t>
      </w:r>
      <w:proofErr w:type="spellStart"/>
      <w:r w:rsidRPr="007667C7">
        <w:rPr>
          <w:rFonts w:ascii="Arial" w:hAnsi="Arial"/>
          <w:b/>
          <w:i/>
          <w:sz w:val="20"/>
        </w:rPr>
        <w:t>Plessy</w:t>
      </w:r>
      <w:proofErr w:type="spellEnd"/>
      <w:r w:rsidRPr="007667C7">
        <w:rPr>
          <w:rFonts w:ascii="Arial" w:hAnsi="Arial"/>
          <w:b/>
          <w:i/>
          <w:sz w:val="20"/>
        </w:rPr>
        <w:t xml:space="preserve"> v. Ferguson</w:t>
      </w:r>
      <w:r w:rsidRPr="007667C7">
        <w:rPr>
          <w:rFonts w:ascii="Arial" w:hAnsi="Arial"/>
          <w:sz w:val="20"/>
        </w:rPr>
        <w:t>, the United States Supreme Court adopted the doctrine of sepa</w:t>
      </w:r>
      <w:r w:rsidRPr="007667C7">
        <w:rPr>
          <w:rFonts w:ascii="Arial" w:hAnsi="Arial"/>
          <w:sz w:val="20"/>
        </w:rPr>
        <w:softHyphen/>
        <w:t xml:space="preserve">rate but equal.  A Louisiana state statute required that all railway companies provide separate but equal accommodations for black and white passengers, imposing criminal sanctions for violations.  </w:t>
      </w:r>
      <w:proofErr w:type="spellStart"/>
      <w:r w:rsidRPr="007667C7">
        <w:rPr>
          <w:rFonts w:ascii="Arial" w:hAnsi="Arial"/>
          <w:sz w:val="20"/>
        </w:rPr>
        <w:t>Plessy</w:t>
      </w:r>
      <w:proofErr w:type="spellEnd"/>
      <w:r w:rsidRPr="007667C7">
        <w:rPr>
          <w:rFonts w:ascii="Arial" w:hAnsi="Arial"/>
          <w:sz w:val="20"/>
        </w:rPr>
        <w:t>, who al</w:t>
      </w:r>
      <w:r w:rsidRPr="007667C7">
        <w:rPr>
          <w:rFonts w:ascii="Arial" w:hAnsi="Arial"/>
          <w:sz w:val="20"/>
        </w:rPr>
        <w:softHyphen/>
        <w:t>leged his ancestry was seven-eighths Caucasian and one-eighth African, attempted to use the coach for whites.  The Court said that the U.S. Constitution’s Thirteenth and Fourteenth Amendments (the Civil War Amendments) “could not have been in</w:t>
      </w:r>
      <w:r w:rsidRPr="007667C7">
        <w:rPr>
          <w:rFonts w:ascii="Arial" w:hAnsi="Arial"/>
          <w:sz w:val="20"/>
        </w:rPr>
        <w:softHyphen/>
        <w:t xml:space="preserve">tended to abolish distinctions based on color, or to enforce </w:t>
      </w:r>
      <w:proofErr w:type="gramStart"/>
      <w:r w:rsidRPr="007667C7">
        <w:rPr>
          <w:rFonts w:ascii="Arial" w:hAnsi="Arial"/>
          <w:sz w:val="20"/>
        </w:rPr>
        <w:t>social .</w:t>
      </w:r>
      <w:proofErr w:type="gramEnd"/>
      <w:r w:rsidRPr="007667C7">
        <w:rPr>
          <w:rFonts w:ascii="Arial" w:hAnsi="Arial"/>
          <w:sz w:val="20"/>
        </w:rPr>
        <w:t xml:space="preserve">  .  . </w:t>
      </w:r>
      <w:proofErr w:type="gramStart"/>
      <w:r w:rsidRPr="007667C7">
        <w:rPr>
          <w:rFonts w:ascii="Arial" w:hAnsi="Arial"/>
          <w:sz w:val="20"/>
        </w:rPr>
        <w:t>equality</w:t>
      </w:r>
      <w:proofErr w:type="gramEnd"/>
      <w:r w:rsidRPr="007667C7">
        <w:rPr>
          <w:rFonts w:ascii="Arial" w:hAnsi="Arial"/>
          <w:sz w:val="20"/>
        </w:rPr>
        <w:t>, or a commingling of the two races upon terms unsatisfactory to either.”  According to the Court, laws requiring racial separation did not necessar</w:t>
      </w:r>
      <w:r w:rsidRPr="007667C7">
        <w:rPr>
          <w:rFonts w:ascii="Arial" w:hAnsi="Arial"/>
          <w:sz w:val="20"/>
        </w:rPr>
        <w:softHyphen/>
        <w:t>ily imply the inferiority of either race.  In a lone dissent, Justice Harlan expressed the opinion that the Civil War Amendments had removed “the race line from our governmental systems,” and the Constitution was thus “color-blind.”</w:t>
      </w:r>
    </w:p>
    <w:p w14:paraId="451061B5" w14:textId="77777777" w:rsidR="00DC54EA" w:rsidRPr="007667C7" w:rsidRDefault="00DC54EA">
      <w:pPr>
        <w:jc w:val="both"/>
        <w:rPr>
          <w:rFonts w:ascii="Arial" w:hAnsi="Arial"/>
          <w:smallCaps/>
          <w:sz w:val="20"/>
        </w:rPr>
      </w:pPr>
    </w:p>
    <w:p w14:paraId="2081248A" w14:textId="77777777" w:rsidR="00DC54EA" w:rsidRPr="007667C7" w:rsidRDefault="00DC54EA">
      <w:pPr>
        <w:jc w:val="both"/>
        <w:rPr>
          <w:rFonts w:ascii="Arial" w:hAnsi="Arial"/>
          <w:smallCaps/>
          <w:sz w:val="20"/>
        </w:rPr>
      </w:pPr>
    </w:p>
    <w:tbl>
      <w:tblPr>
        <w:tblW w:w="0" w:type="auto"/>
        <w:tblLayout w:type="fixed"/>
        <w:tblCellMar>
          <w:left w:w="80" w:type="dxa"/>
          <w:right w:w="80" w:type="dxa"/>
        </w:tblCellMar>
        <w:tblLook w:val="0000" w:firstRow="0" w:lastRow="0" w:firstColumn="0" w:lastColumn="0" w:noHBand="0" w:noVBand="0"/>
      </w:tblPr>
      <w:tblGrid>
        <w:gridCol w:w="10440"/>
      </w:tblGrid>
      <w:tr w:rsidR="00DC54EA" w:rsidRPr="009A13E9" w14:paraId="23B4F292" w14:textId="77777777">
        <w:tc>
          <w:tcPr>
            <w:tcW w:w="10440" w:type="dxa"/>
            <w:tcBorders>
              <w:top w:val="single" w:sz="12" w:space="0" w:color="auto"/>
              <w:left w:val="single" w:sz="12" w:space="0" w:color="auto"/>
              <w:bottom w:val="nil"/>
              <w:right w:val="single" w:sz="12" w:space="0" w:color="auto"/>
            </w:tcBorders>
          </w:tcPr>
          <w:p w14:paraId="15637610" w14:textId="77777777" w:rsidR="00DC54EA" w:rsidRPr="009A13E9" w:rsidRDefault="00DC54EA">
            <w:pPr>
              <w:pStyle w:val="CaseSyn"/>
              <w:spacing w:line="240" w:lineRule="auto"/>
              <w:rPr>
                <w:rFonts w:ascii="B New Century Schlbk Bold" w:hAnsi="B New Century Schlbk Bold"/>
                <w:b w:val="0"/>
              </w:rPr>
            </w:pPr>
          </w:p>
        </w:tc>
      </w:tr>
      <w:tr w:rsidR="00DC54EA" w:rsidRPr="009A13E9" w14:paraId="485E48DD" w14:textId="77777777">
        <w:tc>
          <w:tcPr>
            <w:tcW w:w="10440" w:type="dxa"/>
            <w:tcBorders>
              <w:left w:val="single" w:sz="12" w:space="0" w:color="auto"/>
              <w:right w:val="single" w:sz="12" w:space="0" w:color="auto"/>
            </w:tcBorders>
          </w:tcPr>
          <w:p w14:paraId="6FCA8BB3" w14:textId="77777777" w:rsidR="00DC54EA" w:rsidRPr="009A13E9" w:rsidRDefault="00DC54EA">
            <w:pPr>
              <w:pStyle w:val="Heading3"/>
              <w:ind w:left="360" w:right="200" w:firstLine="0"/>
              <w:jc w:val="center"/>
              <w:rPr>
                <w:b w:val="0"/>
              </w:rPr>
            </w:pPr>
            <w:r w:rsidRPr="007667C7">
              <w:rPr>
                <w:rFonts w:ascii="Arial" w:hAnsi="Arial"/>
              </w:rPr>
              <w:t>Reviewing—</w:t>
            </w:r>
          </w:p>
        </w:tc>
      </w:tr>
      <w:tr w:rsidR="00DC54EA" w:rsidRPr="009A13E9" w14:paraId="7341B79B" w14:textId="77777777">
        <w:tc>
          <w:tcPr>
            <w:tcW w:w="10440" w:type="dxa"/>
            <w:tcBorders>
              <w:top w:val="nil"/>
              <w:left w:val="single" w:sz="12" w:space="0" w:color="auto"/>
              <w:bottom w:val="nil"/>
              <w:right w:val="single" w:sz="12" w:space="0" w:color="auto"/>
            </w:tcBorders>
          </w:tcPr>
          <w:p w14:paraId="641E236B" w14:textId="77777777" w:rsidR="00DC54EA" w:rsidRPr="007667C7" w:rsidRDefault="00DC54EA">
            <w:pPr>
              <w:ind w:left="360" w:right="200"/>
              <w:jc w:val="center"/>
              <w:rPr>
                <w:rFonts w:ascii="Arial" w:hAnsi="Arial"/>
                <w:sz w:val="16"/>
              </w:rPr>
            </w:pPr>
          </w:p>
        </w:tc>
      </w:tr>
      <w:tr w:rsidR="00DC54EA" w:rsidRPr="009A13E9" w14:paraId="5F5AA538" w14:textId="77777777">
        <w:tc>
          <w:tcPr>
            <w:tcW w:w="10440" w:type="dxa"/>
            <w:tcBorders>
              <w:top w:val="nil"/>
              <w:left w:val="single" w:sz="12" w:space="0" w:color="auto"/>
              <w:bottom w:val="nil"/>
              <w:right w:val="single" w:sz="12" w:space="0" w:color="auto"/>
            </w:tcBorders>
          </w:tcPr>
          <w:p w14:paraId="3B2D9930" w14:textId="77777777" w:rsidR="00DC54EA" w:rsidRPr="007667C7" w:rsidRDefault="00DC54EA" w:rsidP="00410784">
            <w:pPr>
              <w:pStyle w:val="Heading3"/>
              <w:tabs>
                <w:tab w:val="left" w:pos="3240"/>
                <w:tab w:val="left" w:pos="8640"/>
              </w:tabs>
              <w:ind w:left="360" w:right="200" w:firstLine="10"/>
              <w:rPr>
                <w:rFonts w:ascii="Arial" w:hAnsi="Arial"/>
                <w:b w:val="0"/>
              </w:rPr>
            </w:pPr>
            <w:r w:rsidRPr="009A13E9">
              <w:rPr>
                <w:rFonts w:ascii="Zapf Dingbats" w:hAnsi="Zapf Dingbats"/>
                <w:b w:val="0"/>
                <w:sz w:val="44"/>
              </w:rPr>
              <w:t></w:t>
            </w:r>
            <w:r w:rsidRPr="009A13E9">
              <w:rPr>
                <w:rFonts w:ascii="Zapf Dingbats" w:hAnsi="Zapf Dingbats"/>
                <w:b w:val="0"/>
                <w:sz w:val="44"/>
              </w:rPr>
              <w:t></w:t>
            </w:r>
            <w:r w:rsidRPr="009A13E9">
              <w:rPr>
                <w:rFonts w:ascii="Zapf Dingbats" w:hAnsi="Zapf Dingbats"/>
                <w:b w:val="0"/>
                <w:sz w:val="44"/>
              </w:rPr>
              <w:t></w:t>
            </w:r>
            <w:r w:rsidRPr="007667C7">
              <w:rPr>
                <w:rFonts w:ascii="Arial" w:hAnsi="Arial"/>
                <w:b w:val="0"/>
              </w:rPr>
              <w:tab/>
            </w:r>
            <w:r w:rsidRPr="007667C7">
              <w:rPr>
                <w:rFonts w:ascii="Arial" w:hAnsi="Arial"/>
                <w:sz w:val="28"/>
              </w:rPr>
              <w:t>Law and Legal Reasoning</w:t>
            </w:r>
            <w:r w:rsidRPr="007667C7">
              <w:rPr>
                <w:rFonts w:ascii="Arial" w:hAnsi="Arial"/>
                <w:b w:val="0"/>
              </w:rPr>
              <w:tab/>
            </w:r>
            <w:r w:rsidRPr="009A13E9">
              <w:rPr>
                <w:rFonts w:ascii="Zapf Dingbats" w:hAnsi="Zapf Dingbats"/>
                <w:b w:val="0"/>
                <w:sz w:val="44"/>
              </w:rPr>
              <w:t></w:t>
            </w:r>
            <w:r w:rsidRPr="009A13E9">
              <w:rPr>
                <w:rFonts w:ascii="Zapf Dingbats" w:hAnsi="Zapf Dingbats"/>
                <w:b w:val="0"/>
                <w:sz w:val="44"/>
              </w:rPr>
              <w:t></w:t>
            </w:r>
            <w:r w:rsidRPr="009A13E9">
              <w:rPr>
                <w:rFonts w:ascii="Zapf Dingbats" w:hAnsi="Zapf Dingbats"/>
                <w:b w:val="0"/>
                <w:sz w:val="44"/>
              </w:rPr>
              <w:t></w:t>
            </w:r>
          </w:p>
        </w:tc>
      </w:tr>
      <w:tr w:rsidR="00DC54EA" w:rsidRPr="009A13E9" w14:paraId="02711C68" w14:textId="77777777">
        <w:tc>
          <w:tcPr>
            <w:tcW w:w="10440" w:type="dxa"/>
            <w:tcBorders>
              <w:top w:val="nil"/>
              <w:left w:val="single" w:sz="12" w:space="0" w:color="auto"/>
              <w:bottom w:val="nil"/>
              <w:right w:val="single" w:sz="12" w:space="0" w:color="auto"/>
            </w:tcBorders>
          </w:tcPr>
          <w:p w14:paraId="33814CEE" w14:textId="77777777" w:rsidR="00DC54EA" w:rsidRPr="007667C7" w:rsidRDefault="00DC54EA">
            <w:pPr>
              <w:ind w:left="360" w:right="200"/>
              <w:jc w:val="center"/>
              <w:rPr>
                <w:rFonts w:ascii="Arial" w:hAnsi="Arial"/>
                <w:sz w:val="16"/>
              </w:rPr>
            </w:pPr>
          </w:p>
        </w:tc>
      </w:tr>
      <w:tr w:rsidR="00DC54EA" w:rsidRPr="009A13E9" w14:paraId="79A54004" w14:textId="77777777">
        <w:tc>
          <w:tcPr>
            <w:tcW w:w="10440" w:type="dxa"/>
            <w:tcBorders>
              <w:top w:val="nil"/>
              <w:left w:val="single" w:sz="12" w:space="0" w:color="auto"/>
              <w:bottom w:val="nil"/>
              <w:right w:val="single" w:sz="12" w:space="0" w:color="auto"/>
            </w:tcBorders>
          </w:tcPr>
          <w:p w14:paraId="485B825F" w14:textId="77777777" w:rsidR="00DC54EA" w:rsidRPr="007667C7" w:rsidRDefault="00DC54EA">
            <w:pPr>
              <w:pStyle w:val="Boxtext"/>
              <w:spacing w:line="240" w:lineRule="auto"/>
              <w:ind w:right="290"/>
              <w:rPr>
                <w:rFonts w:ascii="Arial" w:hAnsi="Arial"/>
              </w:rPr>
            </w:pPr>
            <w:r w:rsidRPr="007667C7">
              <w:rPr>
                <w:rFonts w:ascii="Arial" w:hAnsi="Arial"/>
              </w:rPr>
              <w:tab/>
              <w:t xml:space="preserve">Suppose that the California legislature passes a law that severely restricts carbon dioxide emissions from automobiles in that state. A group of automobile manufacturers file suit against the state of California to prevent the enforcement of the law. The automakers claim that a federal law already sets fuel economy standards nationwide, and that fuel economy standards are essentially the same as carbon dioxide emission standards. According to the automobile manufacturers, it is unfair to allow California to pass more stringent regulations than those set by the federal law. </w:t>
            </w:r>
            <w:r w:rsidRPr="007667C7">
              <w:rPr>
                <w:rFonts w:ascii="Arial" w:hAnsi="Arial"/>
                <w:color w:val="000000"/>
              </w:rPr>
              <w:t>Ask your students to answer the following questions, using the information presented in the chapter.</w:t>
            </w:r>
          </w:p>
        </w:tc>
      </w:tr>
      <w:tr w:rsidR="00DC54EA" w:rsidRPr="004A28D8" w14:paraId="359561BF" w14:textId="77777777">
        <w:tc>
          <w:tcPr>
            <w:tcW w:w="10440" w:type="dxa"/>
            <w:tcBorders>
              <w:top w:val="nil"/>
              <w:left w:val="single" w:sz="12" w:space="0" w:color="auto"/>
              <w:bottom w:val="nil"/>
              <w:right w:val="single" w:sz="12" w:space="0" w:color="auto"/>
            </w:tcBorders>
          </w:tcPr>
          <w:p w14:paraId="5395D190" w14:textId="77777777" w:rsidR="00DC54EA" w:rsidRPr="004A28D8" w:rsidRDefault="00DC54EA">
            <w:pPr>
              <w:ind w:left="360" w:right="200"/>
              <w:jc w:val="center"/>
              <w:rPr>
                <w:rFonts w:ascii="Arial" w:hAnsi="Arial"/>
                <w:sz w:val="20"/>
              </w:rPr>
            </w:pPr>
          </w:p>
        </w:tc>
      </w:tr>
      <w:tr w:rsidR="00DC54EA" w:rsidRPr="004A28D8" w14:paraId="59B24FDF" w14:textId="77777777">
        <w:tc>
          <w:tcPr>
            <w:tcW w:w="10440" w:type="dxa"/>
            <w:tcBorders>
              <w:top w:val="nil"/>
              <w:left w:val="single" w:sz="12" w:space="0" w:color="auto"/>
              <w:bottom w:val="nil"/>
              <w:right w:val="single" w:sz="12" w:space="0" w:color="auto"/>
            </w:tcBorders>
          </w:tcPr>
          <w:p w14:paraId="3ED3AD76" w14:textId="77777777" w:rsidR="00DC54EA" w:rsidRPr="004A28D8" w:rsidRDefault="00DC54EA">
            <w:pPr>
              <w:suppressLineNumbers/>
              <w:ind w:left="360" w:right="200"/>
              <w:jc w:val="both"/>
              <w:rPr>
                <w:rFonts w:ascii="New Century Schlbk" w:hAnsi="New Century Schlbk"/>
                <w:b/>
                <w:sz w:val="20"/>
              </w:rPr>
            </w:pPr>
            <w:r w:rsidRPr="004A28D8">
              <w:rPr>
                <w:rFonts w:ascii="Arial" w:hAnsi="Arial"/>
                <w:b/>
                <w:sz w:val="20"/>
              </w:rPr>
              <w:t>1.</w:t>
            </w:r>
            <w:r w:rsidRPr="004A28D8">
              <w:rPr>
                <w:rFonts w:ascii="Arial" w:hAnsi="Arial"/>
                <w:b/>
                <w:sz w:val="20"/>
              </w:rPr>
              <w:tab/>
            </w:r>
            <w:r w:rsidRPr="004A28D8">
              <w:rPr>
                <w:rFonts w:ascii="Arial" w:hAnsi="Arial"/>
                <w:b/>
                <w:i/>
                <w:sz w:val="20"/>
              </w:rPr>
              <w:t>Who are the parties (the plaintiffs and the defendant) in this lawsuit?</w:t>
            </w:r>
            <w:r w:rsidRPr="004A28D8">
              <w:rPr>
                <w:rFonts w:ascii="Arial" w:hAnsi="Arial"/>
                <w:sz w:val="20"/>
              </w:rPr>
              <w:t xml:space="preserve"> The automobile manufacturers are the plaintiffs, and the state of California is the defendant.</w:t>
            </w:r>
          </w:p>
        </w:tc>
      </w:tr>
      <w:tr w:rsidR="00DC54EA" w:rsidRPr="004A28D8" w14:paraId="5E9A7302" w14:textId="77777777">
        <w:tc>
          <w:tcPr>
            <w:tcW w:w="10440" w:type="dxa"/>
            <w:tcBorders>
              <w:top w:val="nil"/>
              <w:left w:val="single" w:sz="12" w:space="0" w:color="auto"/>
              <w:bottom w:val="nil"/>
              <w:right w:val="single" w:sz="12" w:space="0" w:color="auto"/>
            </w:tcBorders>
          </w:tcPr>
          <w:p w14:paraId="28AF0D35" w14:textId="77777777" w:rsidR="00DC54EA" w:rsidRPr="004A28D8" w:rsidRDefault="00DC54EA">
            <w:pPr>
              <w:ind w:left="360" w:right="200"/>
              <w:jc w:val="center"/>
              <w:rPr>
                <w:rFonts w:ascii="New Century Schlbk" w:hAnsi="New Century Schlbk"/>
                <w:sz w:val="20"/>
              </w:rPr>
            </w:pPr>
          </w:p>
        </w:tc>
      </w:tr>
      <w:tr w:rsidR="00DC54EA" w:rsidRPr="004A28D8" w14:paraId="7FDDACA5" w14:textId="77777777">
        <w:tc>
          <w:tcPr>
            <w:tcW w:w="10440" w:type="dxa"/>
            <w:tcBorders>
              <w:top w:val="nil"/>
              <w:left w:val="single" w:sz="12" w:space="0" w:color="auto"/>
              <w:bottom w:val="nil"/>
              <w:right w:val="single" w:sz="12" w:space="0" w:color="auto"/>
            </w:tcBorders>
          </w:tcPr>
          <w:p w14:paraId="663AFBE0" w14:textId="77777777" w:rsidR="00DC54EA" w:rsidRPr="004A28D8" w:rsidRDefault="00DC54EA">
            <w:pPr>
              <w:suppressLineNumbers/>
              <w:ind w:left="360" w:right="200"/>
              <w:jc w:val="both"/>
              <w:rPr>
                <w:rFonts w:ascii="New Century Schlbk" w:hAnsi="New Century Schlbk"/>
                <w:b/>
                <w:sz w:val="20"/>
              </w:rPr>
            </w:pPr>
            <w:r w:rsidRPr="004A28D8">
              <w:rPr>
                <w:rFonts w:ascii="Arial" w:hAnsi="Arial"/>
                <w:b/>
                <w:sz w:val="20"/>
              </w:rPr>
              <w:t>2.</w:t>
            </w:r>
            <w:r w:rsidRPr="004A28D8">
              <w:rPr>
                <w:rFonts w:ascii="Arial" w:hAnsi="Arial"/>
                <w:b/>
                <w:sz w:val="20"/>
              </w:rPr>
              <w:tab/>
            </w:r>
            <w:r w:rsidRPr="004A28D8">
              <w:rPr>
                <w:rFonts w:ascii="Arial" w:hAnsi="Arial"/>
                <w:b/>
                <w:i/>
                <w:sz w:val="20"/>
              </w:rPr>
              <w:t>Are the plaintiffs seeking a legal remedy or an equitable remedy? Why?</w:t>
            </w:r>
            <w:r w:rsidRPr="004A28D8">
              <w:rPr>
                <w:rFonts w:ascii="Arial" w:hAnsi="Arial"/>
                <w:sz w:val="20"/>
              </w:rPr>
              <w:t xml:space="preserve"> The plaintiffs are seeking an injunction, an equitable remedy, to prevent the state of California from enforcing its statute restricting carbon dioxide emissions.</w:t>
            </w:r>
          </w:p>
        </w:tc>
      </w:tr>
      <w:tr w:rsidR="00DC54EA" w:rsidRPr="004A28D8" w14:paraId="6F5FFE28" w14:textId="77777777">
        <w:tc>
          <w:tcPr>
            <w:tcW w:w="10440" w:type="dxa"/>
            <w:tcBorders>
              <w:top w:val="nil"/>
              <w:left w:val="single" w:sz="12" w:space="0" w:color="auto"/>
              <w:bottom w:val="nil"/>
              <w:right w:val="single" w:sz="12" w:space="0" w:color="auto"/>
            </w:tcBorders>
          </w:tcPr>
          <w:p w14:paraId="763521D6" w14:textId="77777777" w:rsidR="00DC54EA" w:rsidRPr="004A28D8" w:rsidRDefault="00DC54EA">
            <w:pPr>
              <w:ind w:left="360" w:right="200"/>
              <w:jc w:val="center"/>
              <w:rPr>
                <w:rFonts w:ascii="New Century Schlbk" w:hAnsi="New Century Schlbk"/>
                <w:sz w:val="20"/>
              </w:rPr>
            </w:pPr>
          </w:p>
        </w:tc>
      </w:tr>
      <w:tr w:rsidR="00DC54EA" w:rsidRPr="004A28D8" w14:paraId="163D2B52" w14:textId="77777777">
        <w:tc>
          <w:tcPr>
            <w:tcW w:w="10440" w:type="dxa"/>
            <w:tcBorders>
              <w:top w:val="nil"/>
              <w:left w:val="single" w:sz="12" w:space="0" w:color="auto"/>
              <w:bottom w:val="nil"/>
              <w:right w:val="single" w:sz="12" w:space="0" w:color="auto"/>
            </w:tcBorders>
          </w:tcPr>
          <w:p w14:paraId="50A648A1" w14:textId="77777777" w:rsidR="00DC54EA" w:rsidRPr="004A28D8" w:rsidRDefault="00DC54EA">
            <w:pPr>
              <w:suppressLineNumbers/>
              <w:ind w:left="360" w:right="200"/>
              <w:jc w:val="both"/>
              <w:rPr>
                <w:rFonts w:ascii="New Century Schlbk" w:hAnsi="New Century Schlbk"/>
                <w:b/>
                <w:sz w:val="20"/>
              </w:rPr>
            </w:pPr>
            <w:r w:rsidRPr="004A28D8">
              <w:rPr>
                <w:rFonts w:ascii="Arial" w:hAnsi="Arial"/>
                <w:b/>
                <w:sz w:val="20"/>
              </w:rPr>
              <w:t>3.</w:t>
            </w:r>
            <w:r w:rsidRPr="004A28D8">
              <w:rPr>
                <w:rFonts w:ascii="Arial" w:hAnsi="Arial"/>
                <w:b/>
                <w:sz w:val="20"/>
              </w:rPr>
              <w:tab/>
            </w:r>
            <w:r w:rsidRPr="004A28D8">
              <w:rPr>
                <w:rFonts w:ascii="Arial" w:hAnsi="Arial"/>
                <w:b/>
                <w:i/>
                <w:sz w:val="20"/>
              </w:rPr>
              <w:t>What is the primary source of the law that is at issue here?</w:t>
            </w:r>
            <w:r w:rsidRPr="004A28D8">
              <w:rPr>
                <w:rFonts w:ascii="Arial" w:hAnsi="Arial"/>
                <w:sz w:val="20"/>
              </w:rPr>
              <w:t xml:space="preserve"> This case involves a law passed by the California legislature and a federal statute; thus the primary source of law is statutory law.</w:t>
            </w:r>
          </w:p>
        </w:tc>
      </w:tr>
      <w:tr w:rsidR="00DC54EA" w:rsidRPr="004A28D8" w14:paraId="5FDA27B4" w14:textId="77777777">
        <w:tc>
          <w:tcPr>
            <w:tcW w:w="10440" w:type="dxa"/>
            <w:tcBorders>
              <w:top w:val="nil"/>
              <w:left w:val="single" w:sz="12" w:space="0" w:color="auto"/>
              <w:bottom w:val="nil"/>
              <w:right w:val="single" w:sz="12" w:space="0" w:color="auto"/>
            </w:tcBorders>
          </w:tcPr>
          <w:p w14:paraId="43B3B2AB" w14:textId="77777777" w:rsidR="00DC54EA" w:rsidRPr="004A28D8" w:rsidRDefault="00DC54EA">
            <w:pPr>
              <w:ind w:left="360" w:right="200"/>
              <w:jc w:val="center"/>
              <w:rPr>
                <w:rFonts w:ascii="New Century Schlbk" w:hAnsi="New Century Schlbk"/>
                <w:sz w:val="20"/>
              </w:rPr>
            </w:pPr>
          </w:p>
        </w:tc>
      </w:tr>
      <w:tr w:rsidR="00DC54EA" w:rsidRPr="004A28D8" w14:paraId="50F2158E" w14:textId="77777777">
        <w:tc>
          <w:tcPr>
            <w:tcW w:w="10440" w:type="dxa"/>
            <w:tcBorders>
              <w:top w:val="nil"/>
              <w:left w:val="single" w:sz="12" w:space="0" w:color="auto"/>
              <w:bottom w:val="nil"/>
              <w:right w:val="single" w:sz="12" w:space="0" w:color="auto"/>
            </w:tcBorders>
          </w:tcPr>
          <w:p w14:paraId="4F321F92" w14:textId="77777777" w:rsidR="00DC54EA" w:rsidRPr="004A28D8" w:rsidRDefault="00DC54EA">
            <w:pPr>
              <w:suppressLineNumbers/>
              <w:ind w:left="360" w:right="200"/>
              <w:jc w:val="both"/>
              <w:rPr>
                <w:rFonts w:ascii="New Century Schlbk" w:hAnsi="New Century Schlbk"/>
                <w:b/>
                <w:sz w:val="20"/>
              </w:rPr>
            </w:pPr>
            <w:r w:rsidRPr="004A28D8">
              <w:rPr>
                <w:rFonts w:ascii="Arial" w:hAnsi="Arial"/>
                <w:b/>
                <w:sz w:val="20"/>
              </w:rPr>
              <w:lastRenderedPageBreak/>
              <w:t>4.</w:t>
            </w:r>
            <w:r w:rsidRPr="004A28D8">
              <w:rPr>
                <w:rFonts w:ascii="Arial" w:hAnsi="Arial"/>
                <w:b/>
                <w:sz w:val="20"/>
              </w:rPr>
              <w:tab/>
            </w:r>
            <w:r w:rsidRPr="004A28D8">
              <w:rPr>
                <w:rFonts w:ascii="Arial" w:hAnsi="Arial"/>
                <w:b/>
                <w:i/>
                <w:sz w:val="20"/>
              </w:rPr>
              <w:t>Where would you look to find the relevant California and federal laws?</w:t>
            </w:r>
            <w:r w:rsidRPr="004A28D8">
              <w:rPr>
                <w:rFonts w:ascii="Arial" w:hAnsi="Arial"/>
                <w:sz w:val="20"/>
              </w:rPr>
              <w:t xml:space="preserve"> Federal statutes are found in the </w:t>
            </w:r>
            <w:r w:rsidRPr="004A28D8">
              <w:rPr>
                <w:rFonts w:ascii="Arial" w:hAnsi="Arial"/>
                <w:i/>
                <w:sz w:val="20"/>
              </w:rPr>
              <w:t>United States Code,</w:t>
            </w:r>
            <w:r w:rsidRPr="004A28D8">
              <w:rPr>
                <w:rFonts w:ascii="Arial" w:hAnsi="Arial"/>
                <w:sz w:val="20"/>
              </w:rPr>
              <w:t xml:space="preserve"> and California statutes are published in the </w:t>
            </w:r>
            <w:r w:rsidRPr="004A28D8">
              <w:rPr>
                <w:rFonts w:ascii="Arial" w:hAnsi="Arial"/>
                <w:i/>
                <w:sz w:val="20"/>
              </w:rPr>
              <w:t>California Code</w:t>
            </w:r>
            <w:r w:rsidRPr="004A28D8">
              <w:rPr>
                <w:rFonts w:ascii="Arial" w:hAnsi="Arial"/>
                <w:sz w:val="20"/>
              </w:rPr>
              <w:t>. You would look in these sources to find the relevant state and federal statutes.</w:t>
            </w:r>
          </w:p>
        </w:tc>
      </w:tr>
      <w:tr w:rsidR="00DC54EA" w:rsidRPr="009A13E9" w14:paraId="7B0DB4FB" w14:textId="77777777">
        <w:tc>
          <w:tcPr>
            <w:tcW w:w="10440" w:type="dxa"/>
            <w:tcBorders>
              <w:top w:val="nil"/>
              <w:left w:val="single" w:sz="12" w:space="0" w:color="auto"/>
              <w:bottom w:val="nil"/>
              <w:right w:val="single" w:sz="12" w:space="0" w:color="auto"/>
            </w:tcBorders>
          </w:tcPr>
          <w:p w14:paraId="7231C98A" w14:textId="77777777" w:rsidR="00DC54EA" w:rsidRPr="007667C7" w:rsidRDefault="00DC54EA">
            <w:pPr>
              <w:ind w:left="360" w:right="200"/>
              <w:jc w:val="center"/>
              <w:rPr>
                <w:rFonts w:ascii="Arial" w:hAnsi="Arial"/>
                <w:sz w:val="20"/>
              </w:rPr>
            </w:pPr>
          </w:p>
        </w:tc>
      </w:tr>
      <w:tr w:rsidR="00DC54EA" w:rsidRPr="009A13E9" w14:paraId="0636D2F1" w14:textId="77777777">
        <w:tc>
          <w:tcPr>
            <w:tcW w:w="10440" w:type="dxa"/>
            <w:tcBorders>
              <w:top w:val="nil"/>
              <w:left w:val="single" w:sz="12" w:space="0" w:color="auto"/>
              <w:bottom w:val="nil"/>
              <w:right w:val="single" w:sz="12" w:space="0" w:color="auto"/>
            </w:tcBorders>
          </w:tcPr>
          <w:p w14:paraId="57E4F925" w14:textId="77777777" w:rsidR="00DC54EA" w:rsidRPr="007667C7" w:rsidRDefault="00DC54EA">
            <w:pPr>
              <w:pStyle w:val="Heading3"/>
              <w:tabs>
                <w:tab w:val="left" w:pos="4230"/>
                <w:tab w:val="left" w:pos="8640"/>
              </w:tabs>
              <w:ind w:left="360" w:right="200" w:firstLine="10"/>
              <w:rPr>
                <w:rFonts w:ascii="Arial" w:hAnsi="Arial"/>
                <w:b w:val="0"/>
              </w:rPr>
            </w:pPr>
            <w:r w:rsidRPr="009A13E9">
              <w:rPr>
                <w:rFonts w:ascii="Zapf Dingbats" w:hAnsi="Zapf Dingbats"/>
                <w:b w:val="0"/>
                <w:sz w:val="44"/>
              </w:rPr>
              <w:t></w:t>
            </w:r>
            <w:r w:rsidRPr="009A13E9">
              <w:rPr>
                <w:rFonts w:ascii="Zapf Dingbats" w:hAnsi="Zapf Dingbats"/>
                <w:b w:val="0"/>
                <w:sz w:val="44"/>
              </w:rPr>
              <w:t></w:t>
            </w:r>
            <w:r w:rsidRPr="009A13E9">
              <w:rPr>
                <w:rFonts w:ascii="Zapf Dingbats" w:hAnsi="Zapf Dingbats"/>
                <w:b w:val="0"/>
                <w:sz w:val="44"/>
              </w:rPr>
              <w:t></w:t>
            </w:r>
            <w:r w:rsidRPr="007667C7">
              <w:rPr>
                <w:rFonts w:ascii="Arial" w:hAnsi="Arial"/>
                <w:b w:val="0"/>
              </w:rPr>
              <w:tab/>
            </w:r>
            <w:r w:rsidRPr="007667C7">
              <w:rPr>
                <w:rFonts w:ascii="Arial" w:hAnsi="Arial"/>
                <w:sz w:val="28"/>
              </w:rPr>
              <w:t>Debate This:</w:t>
            </w:r>
            <w:r w:rsidRPr="007667C7">
              <w:rPr>
                <w:rFonts w:ascii="Arial" w:hAnsi="Arial"/>
                <w:b w:val="0"/>
              </w:rPr>
              <w:tab/>
            </w:r>
            <w:r w:rsidRPr="009A13E9">
              <w:rPr>
                <w:rFonts w:ascii="Zapf Dingbats" w:hAnsi="Zapf Dingbats"/>
                <w:b w:val="0"/>
                <w:sz w:val="44"/>
              </w:rPr>
              <w:t></w:t>
            </w:r>
            <w:r w:rsidRPr="009A13E9">
              <w:rPr>
                <w:rFonts w:ascii="Zapf Dingbats" w:hAnsi="Zapf Dingbats"/>
                <w:b w:val="0"/>
                <w:sz w:val="44"/>
              </w:rPr>
              <w:t></w:t>
            </w:r>
            <w:r w:rsidRPr="009A13E9">
              <w:rPr>
                <w:rFonts w:ascii="Zapf Dingbats" w:hAnsi="Zapf Dingbats"/>
                <w:b w:val="0"/>
                <w:sz w:val="44"/>
              </w:rPr>
              <w:t></w:t>
            </w:r>
          </w:p>
        </w:tc>
      </w:tr>
      <w:tr w:rsidR="00DC54EA" w:rsidRPr="009A13E9" w14:paraId="42D08E1F" w14:textId="77777777">
        <w:tc>
          <w:tcPr>
            <w:tcW w:w="10440" w:type="dxa"/>
            <w:tcBorders>
              <w:top w:val="nil"/>
              <w:left w:val="single" w:sz="12" w:space="0" w:color="auto"/>
              <w:bottom w:val="nil"/>
              <w:right w:val="single" w:sz="12" w:space="0" w:color="auto"/>
            </w:tcBorders>
          </w:tcPr>
          <w:p w14:paraId="00471A82" w14:textId="77777777" w:rsidR="00DC54EA" w:rsidRPr="007667C7" w:rsidRDefault="00DC54EA">
            <w:pPr>
              <w:ind w:left="360" w:right="200"/>
              <w:jc w:val="center"/>
              <w:rPr>
                <w:rFonts w:ascii="Arial" w:hAnsi="Arial"/>
                <w:sz w:val="16"/>
              </w:rPr>
            </w:pPr>
          </w:p>
        </w:tc>
      </w:tr>
      <w:tr w:rsidR="00DC54EA" w:rsidRPr="009A13E9" w14:paraId="685D17B4" w14:textId="77777777">
        <w:tc>
          <w:tcPr>
            <w:tcW w:w="10440" w:type="dxa"/>
            <w:tcBorders>
              <w:top w:val="nil"/>
              <w:left w:val="single" w:sz="12" w:space="0" w:color="auto"/>
              <w:bottom w:val="nil"/>
              <w:right w:val="single" w:sz="12" w:space="0" w:color="auto"/>
            </w:tcBorders>
          </w:tcPr>
          <w:p w14:paraId="55E90B23" w14:textId="77777777" w:rsidR="00DC54EA" w:rsidRPr="009A13E9" w:rsidRDefault="00DC54EA">
            <w:pPr>
              <w:pStyle w:val="Boxtext"/>
              <w:spacing w:line="240" w:lineRule="auto"/>
              <w:ind w:right="290"/>
              <w:rPr>
                <w:rFonts w:ascii="BI New Century Schlbk BoldIt" w:hAnsi="BI New Century Schlbk BoldIt"/>
              </w:rPr>
            </w:pPr>
            <w:r w:rsidRPr="007667C7">
              <w:rPr>
                <w:rFonts w:ascii="Arial" w:hAnsi="Arial"/>
                <w:b/>
                <w:i/>
              </w:rPr>
              <w:tab/>
              <w:t xml:space="preserve">Under the doctrine of </w:t>
            </w:r>
            <w:r w:rsidRPr="007667C7">
              <w:rPr>
                <w:rFonts w:ascii="Arial" w:hAnsi="Arial"/>
                <w:b/>
              </w:rPr>
              <w:t>stare decisis</w:t>
            </w:r>
            <w:r w:rsidRPr="007667C7">
              <w:rPr>
                <w:rFonts w:ascii="Arial" w:hAnsi="Arial"/>
                <w:b/>
                <w:i/>
              </w:rPr>
              <w:t>, courts are obligated to follow the precedents established in their jurisdictions unless there is a compelling reason not to.  Should U.S. courts continue to adhere to this common law principle, given that our government now regulates so many areas by statute</w:t>
            </w:r>
            <w:r w:rsidRPr="007667C7">
              <w:rPr>
                <w:rFonts w:ascii="Arial" w:hAnsi="Arial"/>
                <w:b/>
                <w:i/>
                <w:color w:val="000000"/>
              </w:rPr>
              <w:t>?</w:t>
            </w:r>
            <w:r w:rsidRPr="007667C7">
              <w:rPr>
                <w:rFonts w:ascii="Arial" w:hAnsi="Arial"/>
              </w:rPr>
              <w:t xml:space="preserve"> Both England and the U.S. legal systems were constructed on the common law system.  The doctrine of </w:t>
            </w:r>
            <w:r w:rsidRPr="007667C7">
              <w:rPr>
                <w:rFonts w:ascii="Arial" w:hAnsi="Arial"/>
                <w:i/>
              </w:rPr>
              <w:t>stare decisis</w:t>
            </w:r>
            <w:r w:rsidRPr="007667C7">
              <w:rPr>
                <w:rFonts w:ascii="Arial" w:hAnsi="Arial"/>
              </w:rPr>
              <w:t xml:space="preserve"> has always been a major part of this system—courts should follow precedents when they are clearly established, excepted under compelling reasons.  Even though more common law is being turned into statutory law, the doctrine of </w:t>
            </w:r>
            <w:r w:rsidRPr="007667C7">
              <w:rPr>
                <w:rFonts w:ascii="Arial" w:hAnsi="Arial"/>
                <w:i/>
              </w:rPr>
              <w:t>stare decisis</w:t>
            </w:r>
            <w:r w:rsidRPr="007667C7">
              <w:rPr>
                <w:rFonts w:ascii="Arial" w:hAnsi="Arial"/>
              </w:rPr>
              <w:t xml:space="preserve"> is still valid.  After all, even statutes have to be interpreted by courts.  What better basis for judges to render their decisions than by basing them on precedents related to the subject at hand?</w:t>
            </w:r>
          </w:p>
        </w:tc>
      </w:tr>
      <w:tr w:rsidR="00DC54EA" w:rsidRPr="009A13E9" w14:paraId="36CEB526" w14:textId="77777777">
        <w:tc>
          <w:tcPr>
            <w:tcW w:w="10440" w:type="dxa"/>
            <w:tcBorders>
              <w:top w:val="nil"/>
              <w:left w:val="single" w:sz="12" w:space="0" w:color="auto"/>
              <w:bottom w:val="nil"/>
              <w:right w:val="single" w:sz="12" w:space="0" w:color="auto"/>
            </w:tcBorders>
          </w:tcPr>
          <w:p w14:paraId="56633400" w14:textId="77777777" w:rsidR="00DC54EA" w:rsidRPr="007667C7" w:rsidRDefault="00DC54EA">
            <w:pPr>
              <w:ind w:left="360" w:right="200"/>
              <w:jc w:val="center"/>
              <w:rPr>
                <w:rFonts w:ascii="Arial" w:hAnsi="Arial"/>
                <w:sz w:val="16"/>
              </w:rPr>
            </w:pPr>
          </w:p>
        </w:tc>
      </w:tr>
      <w:tr w:rsidR="00DC54EA" w:rsidRPr="009A13E9" w14:paraId="5ED05A5D" w14:textId="77777777">
        <w:tc>
          <w:tcPr>
            <w:tcW w:w="10440" w:type="dxa"/>
            <w:tcBorders>
              <w:top w:val="nil"/>
              <w:left w:val="single" w:sz="12" w:space="0" w:color="auto"/>
              <w:bottom w:val="nil"/>
              <w:right w:val="single" w:sz="12" w:space="0" w:color="auto"/>
            </w:tcBorders>
          </w:tcPr>
          <w:p w14:paraId="330841C8" w14:textId="77777777" w:rsidR="00DC54EA" w:rsidRPr="007667C7" w:rsidRDefault="00DC54EA">
            <w:pPr>
              <w:pStyle w:val="Boxtext"/>
              <w:spacing w:line="240" w:lineRule="auto"/>
              <w:ind w:right="290"/>
              <w:rPr>
                <w:rFonts w:ascii="Arial" w:hAnsi="Arial"/>
              </w:rPr>
            </w:pPr>
            <w:r w:rsidRPr="007667C7">
              <w:rPr>
                <w:rFonts w:ascii="Arial" w:hAnsi="Arial"/>
              </w:rPr>
              <w:tab/>
              <w:t xml:space="preserve">In contrast, some students may argue that the doctrine of </w:t>
            </w:r>
            <w:r w:rsidRPr="007667C7">
              <w:rPr>
                <w:rFonts w:ascii="Arial" w:hAnsi="Arial"/>
                <w:i/>
              </w:rPr>
              <w:t>stare decisis</w:t>
            </w:r>
            <w:r w:rsidRPr="007667C7">
              <w:rPr>
                <w:rFonts w:ascii="Arial" w:hAnsi="Arial"/>
              </w:rPr>
              <w:t xml:space="preserve"> is passé.  There is certainly less common law governing, say, environmental law than there was 100 years ago.  Given that federal and state governments increasingly are regulating more aspects of commercial transactions between merchants and consumers, perhaps the courts should simply stick to statutory language when disputes arise.</w:t>
            </w:r>
          </w:p>
        </w:tc>
      </w:tr>
      <w:tr w:rsidR="00DC54EA" w:rsidRPr="009A13E9" w14:paraId="5AFD356C" w14:textId="77777777">
        <w:tc>
          <w:tcPr>
            <w:tcW w:w="10440" w:type="dxa"/>
            <w:tcBorders>
              <w:top w:val="nil"/>
              <w:left w:val="single" w:sz="12" w:space="0" w:color="auto"/>
              <w:bottom w:val="nil"/>
              <w:right w:val="single" w:sz="12" w:space="0" w:color="auto"/>
            </w:tcBorders>
          </w:tcPr>
          <w:p w14:paraId="7A279146" w14:textId="77777777" w:rsidR="00DC54EA" w:rsidRPr="007667C7" w:rsidRDefault="00DC54EA">
            <w:pPr>
              <w:ind w:left="360" w:right="200"/>
              <w:jc w:val="center"/>
              <w:rPr>
                <w:rFonts w:ascii="Arial" w:hAnsi="Arial"/>
                <w:sz w:val="12"/>
              </w:rPr>
            </w:pPr>
          </w:p>
        </w:tc>
      </w:tr>
      <w:tr w:rsidR="00DC54EA" w:rsidRPr="009A13E9" w14:paraId="2F911032" w14:textId="77777777">
        <w:tc>
          <w:tcPr>
            <w:tcW w:w="10440" w:type="dxa"/>
            <w:tcBorders>
              <w:top w:val="nil"/>
              <w:left w:val="single" w:sz="12" w:space="0" w:color="auto"/>
              <w:bottom w:val="nil"/>
              <w:right w:val="single" w:sz="12" w:space="0" w:color="auto"/>
            </w:tcBorders>
          </w:tcPr>
          <w:p w14:paraId="3EF747FA" w14:textId="77777777" w:rsidR="00DC54EA" w:rsidRPr="007667C7" w:rsidRDefault="00DC54EA">
            <w:pPr>
              <w:pStyle w:val="Heading3"/>
              <w:tabs>
                <w:tab w:val="left" w:pos="3600"/>
                <w:tab w:val="left" w:pos="8820"/>
              </w:tabs>
              <w:ind w:left="360" w:right="200" w:firstLine="10"/>
              <w:jc w:val="center"/>
              <w:rPr>
                <w:rFonts w:ascii="Arial" w:hAnsi="Arial"/>
                <w:b w:val="0"/>
                <w:sz w:val="44"/>
              </w:rPr>
            </w:pPr>
            <w:r w:rsidRPr="009A13E9">
              <w:rPr>
                <w:rFonts w:ascii="Zapf Dingbats" w:hAnsi="Zapf Dingbats"/>
                <w:b w:val="0"/>
                <w:sz w:val="44"/>
              </w:rPr>
              <w:t></w:t>
            </w:r>
            <w:r w:rsidRPr="009A13E9">
              <w:rPr>
                <w:rFonts w:ascii="Zapf Dingbats" w:hAnsi="Zapf Dingbats"/>
                <w:b w:val="0"/>
                <w:sz w:val="44"/>
              </w:rPr>
              <w:t></w:t>
            </w:r>
            <w:r w:rsidRPr="009A13E9">
              <w:rPr>
                <w:rFonts w:ascii="Zapf Dingbats" w:hAnsi="Zapf Dingbats"/>
                <w:b w:val="0"/>
                <w:sz w:val="44"/>
              </w:rPr>
              <w:t></w:t>
            </w:r>
          </w:p>
        </w:tc>
      </w:tr>
      <w:tr w:rsidR="00DC54EA" w:rsidRPr="007667C7" w14:paraId="5830C04B" w14:textId="77777777">
        <w:tc>
          <w:tcPr>
            <w:tcW w:w="10440" w:type="dxa"/>
            <w:tcBorders>
              <w:top w:val="nil"/>
              <w:left w:val="single" w:sz="12" w:space="0" w:color="auto"/>
              <w:bottom w:val="single" w:sz="12" w:space="0" w:color="auto"/>
              <w:right w:val="single" w:sz="12" w:space="0" w:color="auto"/>
            </w:tcBorders>
          </w:tcPr>
          <w:p w14:paraId="6B2727DA" w14:textId="77777777" w:rsidR="00DC54EA" w:rsidRPr="007667C7" w:rsidRDefault="00DC54EA">
            <w:pPr>
              <w:pStyle w:val="CaseSyn"/>
              <w:tabs>
                <w:tab w:val="left" w:pos="720"/>
              </w:tabs>
              <w:spacing w:line="240" w:lineRule="auto"/>
              <w:rPr>
                <w:rFonts w:ascii="Arial" w:hAnsi="Arial"/>
                <w:smallCaps w:val="0"/>
                <w:sz w:val="16"/>
              </w:rPr>
            </w:pPr>
          </w:p>
        </w:tc>
      </w:tr>
    </w:tbl>
    <w:p w14:paraId="614DDEE0" w14:textId="77777777" w:rsidR="00C071B5" w:rsidRPr="007667C7" w:rsidRDefault="00C071B5" w:rsidP="00C071B5">
      <w:pPr>
        <w:jc w:val="both"/>
        <w:rPr>
          <w:rFonts w:ascii="Arial" w:hAnsi="Arial"/>
          <w:b/>
          <w:smallCaps/>
        </w:rPr>
      </w:pPr>
    </w:p>
    <w:tbl>
      <w:tblPr>
        <w:tblW w:w="0" w:type="auto"/>
        <w:tblLayout w:type="fixed"/>
        <w:tblCellMar>
          <w:left w:w="80" w:type="dxa"/>
          <w:right w:w="80" w:type="dxa"/>
        </w:tblCellMar>
        <w:tblLook w:val="0000" w:firstRow="0" w:lastRow="0" w:firstColumn="0" w:lastColumn="0" w:noHBand="0" w:noVBand="0"/>
      </w:tblPr>
      <w:tblGrid>
        <w:gridCol w:w="10440"/>
      </w:tblGrid>
      <w:tr w:rsidR="00C071B5" w14:paraId="67C2AFC6" w14:textId="77777777" w:rsidTr="00EB688A">
        <w:tc>
          <w:tcPr>
            <w:tcW w:w="10440" w:type="dxa"/>
            <w:tcBorders>
              <w:top w:val="single" w:sz="12" w:space="0" w:color="auto"/>
              <w:left w:val="single" w:sz="12" w:space="0" w:color="auto"/>
              <w:bottom w:val="nil"/>
              <w:right w:val="single" w:sz="12" w:space="0" w:color="auto"/>
            </w:tcBorders>
          </w:tcPr>
          <w:p w14:paraId="036C2B38" w14:textId="77777777" w:rsidR="00C071B5" w:rsidRPr="007667C7" w:rsidRDefault="00C071B5" w:rsidP="00EB688A">
            <w:pPr>
              <w:pStyle w:val="CaseSyn"/>
              <w:spacing w:line="240" w:lineRule="auto"/>
              <w:rPr>
                <w:rFonts w:ascii="Arial" w:hAnsi="Arial"/>
              </w:rPr>
            </w:pPr>
          </w:p>
        </w:tc>
      </w:tr>
      <w:tr w:rsidR="00B15727" w:rsidRPr="00B15727" w14:paraId="4240B427" w14:textId="77777777" w:rsidTr="0035793A">
        <w:tc>
          <w:tcPr>
            <w:tcW w:w="10440" w:type="dxa"/>
            <w:tcBorders>
              <w:left w:val="single" w:sz="12" w:space="0" w:color="auto"/>
              <w:right w:val="single" w:sz="12" w:space="0" w:color="auto"/>
            </w:tcBorders>
          </w:tcPr>
          <w:p w14:paraId="6B79FF36" w14:textId="77777777" w:rsidR="00B15727" w:rsidRPr="00B15727" w:rsidRDefault="00B15727" w:rsidP="0035793A">
            <w:pPr>
              <w:pStyle w:val="Heading3"/>
              <w:ind w:left="360" w:right="200" w:firstLine="0"/>
              <w:jc w:val="center"/>
              <w:rPr>
                <w:rFonts w:ascii="Arial" w:hAnsi="Arial"/>
                <w:bCs/>
              </w:rPr>
            </w:pPr>
            <w:proofErr w:type="spellStart"/>
            <w:r w:rsidRPr="00B15727">
              <w:rPr>
                <w:rFonts w:ascii="Arial" w:hAnsi="Arial"/>
                <w:bCs/>
              </w:rPr>
              <w:t>ExamPrep</w:t>
            </w:r>
            <w:proofErr w:type="spellEnd"/>
            <w:r w:rsidRPr="00B15727">
              <w:rPr>
                <w:rFonts w:ascii="Arial" w:hAnsi="Arial"/>
                <w:bCs/>
              </w:rPr>
              <w:t>—</w:t>
            </w:r>
          </w:p>
        </w:tc>
      </w:tr>
      <w:tr w:rsidR="00B15727" w:rsidRPr="00B15727" w14:paraId="1E309047" w14:textId="77777777" w:rsidTr="00EB688A">
        <w:tc>
          <w:tcPr>
            <w:tcW w:w="10440" w:type="dxa"/>
            <w:tcBorders>
              <w:top w:val="nil"/>
              <w:left w:val="single" w:sz="12" w:space="0" w:color="auto"/>
              <w:bottom w:val="nil"/>
              <w:right w:val="single" w:sz="12" w:space="0" w:color="auto"/>
            </w:tcBorders>
          </w:tcPr>
          <w:p w14:paraId="14CD2C7E" w14:textId="77777777" w:rsidR="00B15727" w:rsidRPr="00B15727" w:rsidRDefault="00B15727" w:rsidP="00EB688A">
            <w:pPr>
              <w:pStyle w:val="Heading3"/>
              <w:tabs>
                <w:tab w:val="left" w:pos="3960"/>
                <w:tab w:val="left" w:pos="8730"/>
              </w:tabs>
              <w:ind w:left="360" w:right="200" w:firstLine="10"/>
              <w:rPr>
                <w:rFonts w:ascii="Zapf Dingbats" w:hAnsi="Zapf Dingbats"/>
                <w:b w:val="0"/>
                <w:sz w:val="16"/>
                <w:szCs w:val="16"/>
              </w:rPr>
            </w:pPr>
            <w:bookmarkStart w:id="0" w:name="_GoBack"/>
          </w:p>
        </w:tc>
      </w:tr>
      <w:bookmarkEnd w:id="0"/>
      <w:tr w:rsidR="00C071B5" w14:paraId="23DCF43D" w14:textId="77777777" w:rsidTr="00EB688A">
        <w:tc>
          <w:tcPr>
            <w:tcW w:w="10440" w:type="dxa"/>
            <w:tcBorders>
              <w:top w:val="nil"/>
              <w:left w:val="single" w:sz="12" w:space="0" w:color="auto"/>
              <w:bottom w:val="nil"/>
              <w:right w:val="single" w:sz="12" w:space="0" w:color="auto"/>
            </w:tcBorders>
          </w:tcPr>
          <w:p w14:paraId="6A10DC36" w14:textId="77777777" w:rsidR="00C071B5" w:rsidRPr="007667C7" w:rsidRDefault="00C071B5" w:rsidP="00EB688A">
            <w:pPr>
              <w:pStyle w:val="Heading3"/>
              <w:tabs>
                <w:tab w:val="left" w:pos="3960"/>
                <w:tab w:val="left" w:pos="8730"/>
              </w:tabs>
              <w:ind w:left="360" w:right="200" w:firstLine="10"/>
              <w:rPr>
                <w:rFonts w:ascii="Arial" w:hAnsi="Arial"/>
                <w:b w:val="0"/>
              </w:rPr>
            </w:pPr>
            <w:r>
              <w:rPr>
                <w:rFonts w:ascii="Zapf Dingbats" w:hAnsi="Zapf Dingbats"/>
                <w:b w:val="0"/>
                <w:sz w:val="48"/>
              </w:rPr>
              <w:t></w:t>
            </w:r>
            <w:r>
              <w:rPr>
                <w:rFonts w:ascii="Zapf Dingbats" w:hAnsi="Zapf Dingbats"/>
                <w:b w:val="0"/>
                <w:sz w:val="48"/>
              </w:rPr>
              <w:t></w:t>
            </w:r>
            <w:r>
              <w:rPr>
                <w:rFonts w:ascii="Zapf Dingbats" w:hAnsi="Zapf Dingbats"/>
                <w:b w:val="0"/>
                <w:sz w:val="48"/>
              </w:rPr>
              <w:t></w:t>
            </w:r>
            <w:r w:rsidRPr="007667C7">
              <w:rPr>
                <w:rFonts w:ascii="Arial" w:hAnsi="Arial"/>
                <w:b w:val="0"/>
              </w:rPr>
              <w:tab/>
            </w:r>
            <w:r w:rsidRPr="007667C7">
              <w:rPr>
                <w:rFonts w:ascii="Arial" w:hAnsi="Arial"/>
                <w:sz w:val="28"/>
              </w:rPr>
              <w:t>Issue Spotters</w:t>
            </w:r>
            <w:r w:rsidRPr="007667C7">
              <w:rPr>
                <w:rFonts w:ascii="Arial" w:hAnsi="Arial"/>
              </w:rPr>
              <w:tab/>
            </w:r>
            <w:r>
              <w:rPr>
                <w:rFonts w:ascii="Zapf Dingbats" w:hAnsi="Zapf Dingbats"/>
                <w:b w:val="0"/>
                <w:sz w:val="48"/>
              </w:rPr>
              <w:t></w:t>
            </w:r>
            <w:r>
              <w:rPr>
                <w:rFonts w:ascii="Zapf Dingbats" w:hAnsi="Zapf Dingbats"/>
                <w:b w:val="0"/>
                <w:sz w:val="48"/>
              </w:rPr>
              <w:t></w:t>
            </w:r>
            <w:r>
              <w:rPr>
                <w:rFonts w:ascii="Zapf Dingbats" w:hAnsi="Zapf Dingbats"/>
                <w:b w:val="0"/>
                <w:sz w:val="48"/>
              </w:rPr>
              <w:t></w:t>
            </w:r>
          </w:p>
        </w:tc>
      </w:tr>
      <w:tr w:rsidR="00C071B5" w14:paraId="04A68D81" w14:textId="77777777" w:rsidTr="00EB688A">
        <w:tc>
          <w:tcPr>
            <w:tcW w:w="10440" w:type="dxa"/>
            <w:tcBorders>
              <w:top w:val="nil"/>
              <w:left w:val="single" w:sz="12" w:space="0" w:color="auto"/>
              <w:bottom w:val="nil"/>
              <w:right w:val="single" w:sz="12" w:space="0" w:color="auto"/>
            </w:tcBorders>
          </w:tcPr>
          <w:p w14:paraId="6E927BDC" w14:textId="77777777" w:rsidR="00C071B5" w:rsidRPr="007667C7" w:rsidRDefault="00C071B5" w:rsidP="00EB688A">
            <w:pPr>
              <w:ind w:left="360" w:right="200"/>
              <w:jc w:val="center"/>
              <w:rPr>
                <w:rFonts w:ascii="Arial" w:hAnsi="Arial"/>
                <w:sz w:val="14"/>
              </w:rPr>
            </w:pPr>
          </w:p>
        </w:tc>
      </w:tr>
      <w:tr w:rsidR="00C071B5" w14:paraId="04E1CE44" w14:textId="77777777" w:rsidTr="00EB688A">
        <w:tc>
          <w:tcPr>
            <w:tcW w:w="10440" w:type="dxa"/>
            <w:tcBorders>
              <w:top w:val="nil"/>
              <w:left w:val="single" w:sz="12" w:space="0" w:color="auto"/>
              <w:bottom w:val="nil"/>
              <w:right w:val="single" w:sz="12" w:space="0" w:color="auto"/>
            </w:tcBorders>
          </w:tcPr>
          <w:p w14:paraId="048F349B" w14:textId="77777777" w:rsidR="00C071B5" w:rsidRPr="002B4FE0" w:rsidRDefault="00C071B5" w:rsidP="00EB688A">
            <w:pPr>
              <w:suppressLineNumbers/>
              <w:ind w:left="360" w:right="200"/>
              <w:jc w:val="both"/>
              <w:rPr>
                <w:rFonts w:ascii="New Century Schlbk" w:hAnsi="New Century Schlbk"/>
                <w:b/>
                <w:sz w:val="20"/>
              </w:rPr>
            </w:pPr>
            <w:r w:rsidRPr="007667C7">
              <w:rPr>
                <w:rFonts w:ascii="Arial" w:hAnsi="Arial"/>
                <w:b/>
                <w:sz w:val="20"/>
              </w:rPr>
              <w:t>1.</w:t>
            </w:r>
            <w:r w:rsidRPr="007667C7">
              <w:rPr>
                <w:rFonts w:ascii="Arial" w:hAnsi="Arial"/>
                <w:b/>
                <w:i/>
                <w:sz w:val="20"/>
              </w:rPr>
              <w:tab/>
            </w:r>
            <w:r w:rsidR="002B4FE0" w:rsidRPr="007667C7">
              <w:rPr>
                <w:rFonts w:ascii="Arial" w:hAnsi="Arial" w:cs="Arial"/>
                <w:b/>
                <w:bCs/>
                <w:i/>
                <w:sz w:val="20"/>
              </w:rPr>
              <w:t>Under what circumstances might a judge rely on case law to determine the intent and purpose of a statute?</w:t>
            </w:r>
            <w:r w:rsidR="002B4FE0" w:rsidRPr="002B4FE0">
              <w:rPr>
                <w:rFonts w:ascii="Arial" w:hAnsi="Arial" w:cs="Arial"/>
                <w:b/>
                <w:bCs/>
                <w:i/>
                <w:sz w:val="20"/>
              </w:rPr>
              <w:t xml:space="preserve">  </w:t>
            </w:r>
            <w:r w:rsidR="002B4FE0" w:rsidRPr="007667C7">
              <w:rPr>
                <w:rFonts w:ascii="Arial" w:hAnsi="Arial" w:cs="Arial"/>
                <w:sz w:val="20"/>
              </w:rPr>
              <w:t>Case law includes courts’ interpre</w:t>
            </w:r>
            <w:r w:rsidR="002B4FE0" w:rsidRPr="007667C7">
              <w:rPr>
                <w:rFonts w:ascii="Arial" w:hAnsi="Arial" w:cs="Arial"/>
                <w:sz w:val="20"/>
              </w:rPr>
              <w:softHyphen/>
              <w:t>tations of stat</w:t>
            </w:r>
            <w:r w:rsidR="002B4FE0" w:rsidRPr="007667C7">
              <w:rPr>
                <w:rFonts w:ascii="Arial" w:hAnsi="Arial" w:cs="Arial"/>
                <w:sz w:val="20"/>
              </w:rPr>
              <w:softHyphen/>
              <w:t>utes, as well as constitu</w:t>
            </w:r>
            <w:r w:rsidR="002B4FE0" w:rsidRPr="007667C7">
              <w:rPr>
                <w:rFonts w:ascii="Arial" w:hAnsi="Arial" w:cs="Arial"/>
                <w:sz w:val="20"/>
              </w:rPr>
              <w:softHyphen/>
              <w:t>tional provisions and admin</w:t>
            </w:r>
            <w:r w:rsidR="002B4FE0" w:rsidRPr="007667C7">
              <w:rPr>
                <w:rFonts w:ascii="Arial" w:hAnsi="Arial" w:cs="Arial"/>
                <w:sz w:val="20"/>
              </w:rPr>
              <w:softHyphen/>
              <w:t>istrative rules.  Statutes often codify common law rules.  For these reasons, a judge might rely on the common law as a guide to the intent and purpose of a statute</w:t>
            </w:r>
            <w:r w:rsidRPr="007667C7">
              <w:rPr>
                <w:rFonts w:ascii="Arial" w:hAnsi="Arial" w:cs="Arial"/>
                <w:sz w:val="20"/>
              </w:rPr>
              <w:t>.</w:t>
            </w:r>
          </w:p>
        </w:tc>
      </w:tr>
      <w:tr w:rsidR="00C071B5" w14:paraId="160D37D5" w14:textId="77777777" w:rsidTr="00EB688A">
        <w:tc>
          <w:tcPr>
            <w:tcW w:w="10440" w:type="dxa"/>
            <w:tcBorders>
              <w:top w:val="nil"/>
              <w:left w:val="single" w:sz="12" w:space="0" w:color="auto"/>
              <w:bottom w:val="nil"/>
              <w:right w:val="single" w:sz="12" w:space="0" w:color="auto"/>
            </w:tcBorders>
          </w:tcPr>
          <w:p w14:paraId="65B2C3C5" w14:textId="77777777" w:rsidR="00C071B5" w:rsidRPr="007667C7" w:rsidRDefault="00C071B5" w:rsidP="00EB688A">
            <w:pPr>
              <w:ind w:left="360" w:right="200"/>
              <w:jc w:val="center"/>
              <w:rPr>
                <w:rFonts w:ascii="Arial" w:hAnsi="Arial"/>
                <w:sz w:val="12"/>
              </w:rPr>
            </w:pPr>
          </w:p>
        </w:tc>
      </w:tr>
      <w:tr w:rsidR="00C071B5" w14:paraId="3630E874" w14:textId="77777777" w:rsidTr="00EB688A">
        <w:tc>
          <w:tcPr>
            <w:tcW w:w="10440" w:type="dxa"/>
            <w:tcBorders>
              <w:top w:val="nil"/>
              <w:left w:val="single" w:sz="12" w:space="0" w:color="auto"/>
              <w:bottom w:val="nil"/>
              <w:right w:val="single" w:sz="12" w:space="0" w:color="auto"/>
            </w:tcBorders>
          </w:tcPr>
          <w:p w14:paraId="1423A300" w14:textId="77777777" w:rsidR="00C071B5" w:rsidRPr="002B4FE0" w:rsidRDefault="00C071B5" w:rsidP="00EB688A">
            <w:pPr>
              <w:suppressLineNumbers/>
              <w:ind w:left="360" w:right="200"/>
              <w:jc w:val="both"/>
              <w:rPr>
                <w:rFonts w:ascii="New Century Schlbk" w:hAnsi="New Century Schlbk"/>
                <w:b/>
                <w:sz w:val="20"/>
              </w:rPr>
            </w:pPr>
            <w:r w:rsidRPr="007667C7">
              <w:rPr>
                <w:rFonts w:ascii="Arial" w:hAnsi="Arial"/>
                <w:b/>
                <w:sz w:val="20"/>
              </w:rPr>
              <w:t>2.</w:t>
            </w:r>
            <w:r w:rsidRPr="007667C7">
              <w:rPr>
                <w:rFonts w:ascii="Arial" w:hAnsi="Arial"/>
                <w:b/>
                <w:i/>
                <w:sz w:val="20"/>
              </w:rPr>
              <w:tab/>
            </w:r>
            <w:r w:rsidR="002B4FE0" w:rsidRPr="007667C7">
              <w:rPr>
                <w:rFonts w:ascii="Arial" w:hAnsi="Arial" w:cs="Arial"/>
                <w:b/>
                <w:i/>
                <w:sz w:val="20"/>
              </w:rPr>
              <w:t>After World War II, several Nazis were convicted of “crimes against humanity” by an international court. Assuming that these convicted war criminals had not disobeyed any law of their country and had merely been following their government’s orders, what law had they violated? Explain.</w:t>
            </w:r>
            <w:r w:rsidR="002B4FE0" w:rsidRPr="002B4FE0">
              <w:rPr>
                <w:rFonts w:ascii="Arial" w:hAnsi="Arial" w:cs="Arial"/>
                <w:b/>
                <w:i/>
                <w:sz w:val="20"/>
              </w:rPr>
              <w:t xml:space="preserve">  </w:t>
            </w:r>
            <w:r w:rsidR="002B4FE0" w:rsidRPr="007667C7">
              <w:rPr>
                <w:rFonts w:ascii="Arial" w:hAnsi="Arial" w:cs="Arial"/>
                <w:sz w:val="20"/>
              </w:rPr>
              <w:t>At the time of the Nuremberg trials, “crimes against humanity” were new international crimes.  The laws criminalized such acts as murder, extermination, enslavement, depor</w:t>
            </w:r>
            <w:r w:rsidR="002B4FE0" w:rsidRPr="007667C7">
              <w:rPr>
                <w:rFonts w:ascii="Arial" w:hAnsi="Arial" w:cs="Arial"/>
                <w:sz w:val="20"/>
              </w:rPr>
              <w:softHyphen/>
              <w:t>tation, and other inhumane acts committed against any civilian population.  These in</w:t>
            </w:r>
            <w:r w:rsidR="002B4FE0" w:rsidRPr="007667C7">
              <w:rPr>
                <w:rFonts w:ascii="Arial" w:hAnsi="Arial" w:cs="Arial"/>
                <w:sz w:val="20"/>
              </w:rPr>
              <w:softHyphen/>
              <w:t>ternational laws derived their legitimacy from “natural law.”  Natural law, which is the oldest and one of the most significant schools of jurisprudence, holds that governments and legal systems should reflect the moral and ethical ideals that are inherent in hu</w:t>
            </w:r>
            <w:r w:rsidR="002B4FE0" w:rsidRPr="007667C7">
              <w:rPr>
                <w:rFonts w:ascii="Arial" w:hAnsi="Arial" w:cs="Arial"/>
                <w:sz w:val="20"/>
              </w:rPr>
              <w:softHyphen/>
              <w:t xml:space="preserve">man nature. Because natural law is universal and discoverable by reason, its adherents believe that all other law is derived from natural law.  Natural law therefore supersedes laws created by humans (national, or “positive,” law), and in a conflict between the two, national or positive law loses its legitimacy.  The Nuremberg defendants asserted that they had been acting in accordance with German law. The judges dismissed these claims, reasoning that the defendants’ acts were commonly regarded as crimes and that the accused must have known that the acts would be considered </w:t>
            </w:r>
            <w:r w:rsidR="002B4FE0" w:rsidRPr="007667C7">
              <w:rPr>
                <w:rFonts w:ascii="Arial" w:hAnsi="Arial" w:cs="Arial"/>
                <w:sz w:val="20"/>
              </w:rPr>
              <w:lastRenderedPageBreak/>
              <w:t>criminal. The judges clearly believed the tenets of natural law and expected that the defendants, too, should have been able to realize that their acts ran afoul of it. The fact that the “positivist law” of Germany at the time required them to commit these acts is irrelevant. Under natural law theory, the international court was justified in finding the defendants guilty of crimes against humanity</w:t>
            </w:r>
            <w:r w:rsidRPr="007667C7">
              <w:rPr>
                <w:rFonts w:ascii="Arial" w:hAnsi="Arial"/>
                <w:sz w:val="20"/>
              </w:rPr>
              <w:t>.</w:t>
            </w:r>
          </w:p>
        </w:tc>
      </w:tr>
      <w:tr w:rsidR="00C071B5" w14:paraId="30F18D9E" w14:textId="77777777" w:rsidTr="00EB688A">
        <w:tc>
          <w:tcPr>
            <w:tcW w:w="10440" w:type="dxa"/>
            <w:tcBorders>
              <w:top w:val="nil"/>
              <w:left w:val="single" w:sz="12" w:space="0" w:color="auto"/>
              <w:bottom w:val="nil"/>
              <w:right w:val="single" w:sz="12" w:space="0" w:color="auto"/>
            </w:tcBorders>
          </w:tcPr>
          <w:p w14:paraId="0D527F7D" w14:textId="77777777" w:rsidR="00C071B5" w:rsidRPr="007667C7" w:rsidRDefault="00C071B5" w:rsidP="00EB688A">
            <w:pPr>
              <w:ind w:left="360" w:right="200"/>
              <w:jc w:val="center"/>
              <w:rPr>
                <w:rFonts w:ascii="Arial" w:hAnsi="Arial"/>
                <w:sz w:val="12"/>
              </w:rPr>
            </w:pPr>
          </w:p>
        </w:tc>
      </w:tr>
      <w:tr w:rsidR="00C071B5" w14:paraId="55E41B56" w14:textId="77777777" w:rsidTr="00EB688A">
        <w:tc>
          <w:tcPr>
            <w:tcW w:w="10440" w:type="dxa"/>
            <w:tcBorders>
              <w:top w:val="nil"/>
              <w:left w:val="single" w:sz="12" w:space="0" w:color="auto"/>
              <w:bottom w:val="nil"/>
              <w:right w:val="single" w:sz="12" w:space="0" w:color="auto"/>
            </w:tcBorders>
          </w:tcPr>
          <w:p w14:paraId="3DD2AA82" w14:textId="77777777" w:rsidR="00C071B5" w:rsidRPr="007667C7" w:rsidRDefault="00C071B5" w:rsidP="00EB688A">
            <w:pPr>
              <w:pStyle w:val="Heading3"/>
              <w:tabs>
                <w:tab w:val="left" w:pos="3600"/>
                <w:tab w:val="left" w:pos="8820"/>
              </w:tabs>
              <w:ind w:left="360" w:right="200" w:firstLine="10"/>
              <w:jc w:val="center"/>
              <w:rPr>
                <w:rFonts w:ascii="Arial" w:hAnsi="Arial"/>
                <w:b w:val="0"/>
              </w:rPr>
            </w:pPr>
            <w:r>
              <w:rPr>
                <w:rFonts w:ascii="Zapf Dingbats" w:hAnsi="Zapf Dingbats"/>
                <w:b w:val="0"/>
                <w:sz w:val="48"/>
              </w:rPr>
              <w:t></w:t>
            </w:r>
            <w:r>
              <w:rPr>
                <w:rFonts w:ascii="Zapf Dingbats" w:hAnsi="Zapf Dingbats"/>
                <w:b w:val="0"/>
                <w:sz w:val="48"/>
              </w:rPr>
              <w:t></w:t>
            </w:r>
            <w:r>
              <w:rPr>
                <w:rFonts w:ascii="Zapf Dingbats" w:hAnsi="Zapf Dingbats"/>
                <w:b w:val="0"/>
                <w:sz w:val="48"/>
              </w:rPr>
              <w:t></w:t>
            </w:r>
          </w:p>
        </w:tc>
      </w:tr>
      <w:tr w:rsidR="00C071B5" w14:paraId="434EC9FD" w14:textId="77777777" w:rsidTr="00EB688A">
        <w:tc>
          <w:tcPr>
            <w:tcW w:w="10440" w:type="dxa"/>
            <w:tcBorders>
              <w:top w:val="nil"/>
              <w:left w:val="single" w:sz="12" w:space="0" w:color="auto"/>
              <w:bottom w:val="single" w:sz="12" w:space="0" w:color="auto"/>
              <w:right w:val="single" w:sz="12" w:space="0" w:color="auto"/>
            </w:tcBorders>
          </w:tcPr>
          <w:p w14:paraId="2AF9917A" w14:textId="77777777" w:rsidR="00C071B5" w:rsidRPr="007667C7" w:rsidRDefault="00C071B5" w:rsidP="00EB688A">
            <w:pPr>
              <w:pStyle w:val="CaseSyn"/>
              <w:tabs>
                <w:tab w:val="left" w:pos="720"/>
              </w:tabs>
              <w:spacing w:line="240" w:lineRule="auto"/>
              <w:rPr>
                <w:rFonts w:ascii="Arial" w:hAnsi="Arial"/>
                <w:smallCaps w:val="0"/>
              </w:rPr>
            </w:pPr>
          </w:p>
        </w:tc>
      </w:tr>
    </w:tbl>
    <w:p w14:paraId="40A7D27D" w14:textId="77777777" w:rsidR="00C071B5" w:rsidRPr="007667C7" w:rsidRDefault="00C071B5" w:rsidP="00C071B5">
      <w:pPr>
        <w:jc w:val="both"/>
        <w:rPr>
          <w:rFonts w:ascii="Arial" w:hAnsi="Arial"/>
          <w:sz w:val="20"/>
        </w:rPr>
      </w:pPr>
    </w:p>
    <w:sectPr w:rsidR="00C071B5" w:rsidRPr="007667C7">
      <w:headerReference w:type="even" r:id="rId9"/>
      <w:headerReference w:type="default" r:id="rId10"/>
      <w:footerReference w:type="even" r:id="rId11"/>
      <w:footerReference w:type="default" r:id="rId12"/>
      <w:footerReference w:type="first" r:id="rId13"/>
      <w:pgSz w:w="12240" w:h="15840"/>
      <w:pgMar w:top="2347" w:right="907" w:bottom="1440" w:left="907" w:header="1440" w:footer="144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84F463" w14:textId="77777777" w:rsidR="00134C12" w:rsidRDefault="00134C12">
      <w:r>
        <w:separator/>
      </w:r>
    </w:p>
  </w:endnote>
  <w:endnote w:type="continuationSeparator" w:id="0">
    <w:p w14:paraId="129F6FD3" w14:textId="77777777" w:rsidR="00134C12" w:rsidRDefault="0013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 New Century Schlbk Bold">
    <w:charset w:val="00"/>
    <w:family w:val="auto"/>
    <w:pitch w:val="variable"/>
    <w:sig w:usb0="00000003" w:usb1="00000000" w:usb2="00000000" w:usb3="00000000" w:csb0="00000001" w:csb1="00000000"/>
  </w:font>
  <w:font w:name="Times New Roman">
    <w:panose1 w:val="020206030504050203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New York">
    <w:panose1 w:val="02020502060305060204"/>
    <w:charset w:val="00"/>
    <w:family w:val="auto"/>
    <w:pitch w:val="variable"/>
    <w:sig w:usb0="00000003" w:usb1="00000000" w:usb2="00000000" w:usb3="00000000" w:csb0="00000001" w:csb1="00000000"/>
  </w:font>
  <w:font w:name="Bookman">
    <w:panose1 w:val="02000500000000000000"/>
    <w:charset w:val="00"/>
    <w:family w:val="auto"/>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I New Century Schlbk Italic">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Zapf Dingbats">
    <w:panose1 w:val="05020102010704020609"/>
    <w:charset w:val="02"/>
    <w:family w:val="auto"/>
    <w:pitch w:val="variable"/>
    <w:sig w:usb0="00000000" w:usb1="10000000" w:usb2="00000000" w:usb3="00000000" w:csb0="80000000" w:csb1="00000000"/>
  </w:font>
  <w:font w:name="Palatino">
    <w:panose1 w:val="02000500000000000000"/>
    <w:charset w:val="00"/>
    <w:family w:val="auto"/>
    <w:pitch w:val="variable"/>
    <w:sig w:usb0="00000003" w:usb1="00000000" w:usb2="00000000" w:usb3="00000000" w:csb0="00000001" w:csb1="00000000"/>
  </w:font>
  <w:font w:name="BI New Century Schlbk BoldIt">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0A1C2" w14:textId="77777777" w:rsidR="00134C12" w:rsidRDefault="00134C12">
    <w:pPr>
      <w:pStyle w:val="Footer"/>
    </w:pPr>
  </w:p>
  <w:p w14:paraId="38FA86FD" w14:textId="04C40511" w:rsidR="00134C12" w:rsidRPr="007667C7" w:rsidRDefault="00134C12">
    <w:pPr>
      <w:pStyle w:val="Footer"/>
      <w:jc w:val="both"/>
      <w:rPr>
        <w:rFonts w:ascii="Arial" w:hAnsi="Arial"/>
        <w:b/>
        <w:sz w:val="16"/>
      </w:rPr>
    </w:pPr>
    <w:r w:rsidRPr="007667C7">
      <w:rPr>
        <w:rFonts w:ascii="Arial" w:hAnsi="Arial"/>
        <w:b/>
        <w:color w:val="0000FF"/>
        <w:sz w:val="16"/>
      </w:rPr>
      <w:t xml:space="preserve">© 2015 </w:t>
    </w:r>
    <w:proofErr w:type="spellStart"/>
    <w:r w:rsidRPr="007667C7">
      <w:rPr>
        <w:rFonts w:ascii="Arial" w:hAnsi="Arial"/>
        <w:b/>
        <w:color w:val="0000FF"/>
        <w:sz w:val="16"/>
      </w:rPr>
      <w:t>Cengage</w:t>
    </w:r>
    <w:proofErr w:type="spellEnd"/>
    <w:r w:rsidRPr="007667C7">
      <w:rPr>
        <w:rFonts w:ascii="Arial" w:hAnsi="Arial"/>
        <w:b/>
        <w:color w:val="0000FF"/>
        <w:sz w:val="16"/>
      </w:rPr>
      <w:t xml:space="preserve"> Learning. All Rights Reserved. May not be scanned, copied or duplicated, or posted to a publicly accessible website, in whole or in part.</w:t>
    </w:r>
  </w:p>
  <w:p w14:paraId="7E1966E2" w14:textId="77777777" w:rsidR="00134C12" w:rsidRDefault="00134C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7A28D" w14:textId="77777777" w:rsidR="00134C12" w:rsidRDefault="00134C12">
    <w:pPr>
      <w:pStyle w:val="Footer"/>
    </w:pPr>
  </w:p>
  <w:p w14:paraId="1093E6D3" w14:textId="0B9CE594" w:rsidR="00134C12" w:rsidRPr="007667C7" w:rsidRDefault="00134C12">
    <w:pPr>
      <w:pStyle w:val="Footer"/>
      <w:jc w:val="both"/>
      <w:rPr>
        <w:rFonts w:ascii="Arial" w:hAnsi="Arial"/>
        <w:b/>
        <w:sz w:val="16"/>
      </w:rPr>
    </w:pPr>
    <w:r w:rsidRPr="007667C7">
      <w:rPr>
        <w:rFonts w:ascii="Arial" w:hAnsi="Arial"/>
        <w:b/>
        <w:color w:val="0000FF"/>
        <w:sz w:val="16"/>
      </w:rPr>
      <w:t xml:space="preserve">© 2015 </w:t>
    </w:r>
    <w:proofErr w:type="spellStart"/>
    <w:r w:rsidRPr="007667C7">
      <w:rPr>
        <w:rFonts w:ascii="Arial" w:hAnsi="Arial"/>
        <w:b/>
        <w:color w:val="0000FF"/>
        <w:sz w:val="16"/>
      </w:rPr>
      <w:t>Cengage</w:t>
    </w:r>
    <w:proofErr w:type="spellEnd"/>
    <w:r w:rsidRPr="007667C7">
      <w:rPr>
        <w:rFonts w:ascii="Arial" w:hAnsi="Arial"/>
        <w:b/>
        <w:color w:val="0000FF"/>
        <w:sz w:val="16"/>
      </w:rPr>
      <w:t xml:space="preserve"> Learning. All Rights Reserved. May not be scanned, copied or duplicated, or posted to a publicly accessible website, in whole or in part.</w:t>
    </w:r>
  </w:p>
  <w:p w14:paraId="150AD9D6" w14:textId="77777777" w:rsidR="00134C12" w:rsidRDefault="00134C12">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B24F9" w14:textId="77777777" w:rsidR="00134C12" w:rsidRDefault="00134C12">
    <w:pPr>
      <w:pStyle w:val="Footer"/>
      <w:jc w:val="center"/>
      <w:rPr>
        <w:rFonts w:ascii="Helvetica" w:hAnsi="Helvetica"/>
      </w:rPr>
    </w:pPr>
    <w:r>
      <w:rPr>
        <w:rFonts w:ascii="Helvetica" w:hAnsi="Helvetica"/>
      </w:rPr>
      <w:fldChar w:fldCharType="begin"/>
    </w:r>
    <w:r>
      <w:rPr>
        <w:rFonts w:ascii="B New Century Schlbk Bold" w:hAnsi="B New Century Schlbk Bold"/>
      </w:rPr>
      <w:instrText xml:space="preserve"> PAGE  </w:instrText>
    </w:r>
    <w:r>
      <w:rPr>
        <w:rFonts w:ascii="Helvetica" w:hAnsi="Helvetica"/>
      </w:rPr>
      <w:fldChar w:fldCharType="separate"/>
    </w:r>
    <w:r w:rsidR="00B15727">
      <w:rPr>
        <w:rFonts w:ascii="B New Century Schlbk Bold" w:hAnsi="B New Century Schlbk Bold"/>
        <w:noProof/>
      </w:rPr>
      <w:t>1</w:t>
    </w:r>
    <w:r>
      <w:rPr>
        <w:rFonts w:ascii="Helvetica" w:hAnsi="Helvetica"/>
      </w:rPr>
      <w:fldChar w:fldCharType="end"/>
    </w:r>
  </w:p>
  <w:p w14:paraId="70A61336" w14:textId="77777777" w:rsidR="00134C12" w:rsidRDefault="00134C12">
    <w:pPr>
      <w:pStyle w:val="Footer"/>
      <w:jc w:val="center"/>
      <w:rPr>
        <w:rFonts w:ascii="Helvetica" w:hAnsi="Helvetica"/>
      </w:rPr>
    </w:pPr>
  </w:p>
  <w:p w14:paraId="2E3BE5A5" w14:textId="15681884" w:rsidR="00134C12" w:rsidRPr="007667C7" w:rsidRDefault="00134C12">
    <w:pPr>
      <w:pStyle w:val="Footer"/>
      <w:jc w:val="both"/>
      <w:rPr>
        <w:rFonts w:ascii="Arial" w:hAnsi="Arial"/>
        <w:b/>
        <w:sz w:val="16"/>
      </w:rPr>
    </w:pPr>
    <w:r w:rsidRPr="007667C7">
      <w:rPr>
        <w:rFonts w:ascii="Arial" w:hAnsi="Arial"/>
        <w:b/>
        <w:color w:val="0000FF"/>
        <w:sz w:val="16"/>
      </w:rPr>
      <w:t xml:space="preserve">© 2015 </w:t>
    </w:r>
    <w:proofErr w:type="spellStart"/>
    <w:r w:rsidRPr="007667C7">
      <w:rPr>
        <w:rFonts w:ascii="Arial" w:hAnsi="Arial"/>
        <w:b/>
        <w:color w:val="0000FF"/>
        <w:sz w:val="16"/>
      </w:rPr>
      <w:t>Cengage</w:t>
    </w:r>
    <w:proofErr w:type="spellEnd"/>
    <w:r w:rsidRPr="007667C7">
      <w:rPr>
        <w:rFonts w:ascii="Arial" w:hAnsi="Arial"/>
        <w:b/>
        <w:color w:val="0000FF"/>
        <w:sz w:val="16"/>
      </w:rPr>
      <w:t xml:space="preserve"> Learning. All Rights Reserved. May not be scanned, copied or duplicated, or posted to a publicly accessible website, in whole or in part.</w:t>
    </w:r>
  </w:p>
  <w:p w14:paraId="4AE5BB7D" w14:textId="77777777" w:rsidR="00134C12" w:rsidRPr="007667C7" w:rsidRDefault="00134C12">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AE1B6" w14:textId="77777777" w:rsidR="00134C12" w:rsidRDefault="00134C12">
      <w:r>
        <w:separator/>
      </w:r>
    </w:p>
  </w:footnote>
  <w:footnote w:type="continuationSeparator" w:id="0">
    <w:p w14:paraId="684674AC" w14:textId="77777777" w:rsidR="00134C12" w:rsidRDefault="00134C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6E881" w14:textId="5914AF54" w:rsidR="00134C12" w:rsidRPr="007667C7" w:rsidRDefault="00134C12">
    <w:pPr>
      <w:pStyle w:val="Header"/>
      <w:tabs>
        <w:tab w:val="clear" w:pos="4320"/>
        <w:tab w:val="clear" w:pos="8640"/>
      </w:tabs>
      <w:rPr>
        <w:rFonts w:ascii="Arial" w:hAnsi="Arial"/>
        <w:caps/>
        <w:sz w:val="20"/>
      </w:rPr>
    </w:pPr>
    <w:r>
      <w:rPr>
        <w:rFonts w:ascii="Helvetica" w:hAnsi="Helvetica"/>
        <w:caps/>
      </w:rPr>
      <w:fldChar w:fldCharType="begin"/>
    </w:r>
    <w:r>
      <w:rPr>
        <w:rFonts w:ascii="B New Century Schlbk Bold" w:hAnsi="B New Century Schlbk Bold"/>
        <w:caps/>
      </w:rPr>
      <w:instrText xml:space="preserve"> PAGE  </w:instrText>
    </w:r>
    <w:r>
      <w:rPr>
        <w:rFonts w:ascii="Helvetica" w:hAnsi="Helvetica"/>
        <w:caps/>
      </w:rPr>
      <w:fldChar w:fldCharType="separate"/>
    </w:r>
    <w:r w:rsidR="00B15727">
      <w:rPr>
        <w:rFonts w:ascii="B New Century Schlbk Bold" w:hAnsi="B New Century Schlbk Bold"/>
        <w:caps/>
        <w:noProof/>
      </w:rPr>
      <w:t>24</w:t>
    </w:r>
    <w:r>
      <w:rPr>
        <w:rFonts w:ascii="Helvetica" w:hAnsi="Helvetica"/>
        <w:caps/>
      </w:rPr>
      <w:fldChar w:fldCharType="end"/>
    </w:r>
    <w:r w:rsidRPr="007667C7">
      <w:rPr>
        <w:rFonts w:ascii="Arial" w:hAnsi="Arial"/>
        <w:caps/>
      </w:rPr>
      <w:t xml:space="preserve">  </w:t>
    </w:r>
    <w:r w:rsidRPr="007667C7">
      <w:rPr>
        <w:rFonts w:ascii="Arial" w:hAnsi="Arial"/>
        <w:caps/>
        <w:sz w:val="20"/>
      </w:rPr>
      <w:t xml:space="preserve">         Instructor’s Manual to Accompany </w:t>
    </w:r>
    <w:r w:rsidRPr="007667C7">
      <w:rPr>
        <w:rFonts w:ascii="Arial" w:hAnsi="Arial"/>
        <w:i/>
        <w:caps/>
        <w:sz w:val="20"/>
      </w:rPr>
      <w:t>Business Law</w:t>
    </w:r>
    <w:r w:rsidRPr="007667C7">
      <w:rPr>
        <w:rFonts w:ascii="Arial" w:hAnsi="Arial"/>
        <w:caps/>
        <w:sz w:val="20"/>
      </w:rPr>
      <w:t>, Thirteenth Edition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FB04E" w14:textId="6F030BA1" w:rsidR="00134C12" w:rsidRPr="007667C7" w:rsidRDefault="00134C12">
    <w:pPr>
      <w:pStyle w:val="Header"/>
      <w:tabs>
        <w:tab w:val="clear" w:pos="4320"/>
        <w:tab w:val="clear" w:pos="8640"/>
      </w:tabs>
      <w:jc w:val="right"/>
      <w:rPr>
        <w:rFonts w:ascii="Arial" w:hAnsi="Arial"/>
        <w:caps/>
        <w:sz w:val="16"/>
      </w:rPr>
    </w:pPr>
    <w:r w:rsidRPr="007667C7">
      <w:rPr>
        <w:rFonts w:ascii="Arial" w:hAnsi="Arial"/>
        <w:caps/>
        <w:sz w:val="20"/>
      </w:rPr>
      <w:t xml:space="preserve">Chapter 1: Law and Legal </w:t>
    </w:r>
    <w:proofErr w:type="gramStart"/>
    <w:r w:rsidRPr="007667C7">
      <w:rPr>
        <w:rFonts w:ascii="Arial" w:hAnsi="Arial"/>
        <w:caps/>
        <w:sz w:val="20"/>
      </w:rPr>
      <w:t xml:space="preserve">Reasoning          </w:t>
    </w:r>
    <w:r w:rsidRPr="007667C7">
      <w:rPr>
        <w:rFonts w:ascii="Arial" w:hAnsi="Arial"/>
        <w:b/>
        <w:caps/>
        <w:sz w:val="20"/>
      </w:rPr>
      <w:t xml:space="preserve"> </w:t>
    </w:r>
    <w:proofErr w:type="gramEnd"/>
    <w:r w:rsidRPr="007667C7">
      <w:rPr>
        <w:rFonts w:ascii="Arial" w:hAnsi="Arial"/>
        <w:b/>
        <w:caps/>
      </w:rPr>
      <w:fldChar w:fldCharType="begin"/>
    </w:r>
    <w:r w:rsidRPr="007667C7">
      <w:rPr>
        <w:rFonts w:ascii="Arial" w:hAnsi="Arial"/>
        <w:b/>
        <w:caps/>
      </w:rPr>
      <w:instrText xml:space="preserve"> PAGE  </w:instrText>
    </w:r>
    <w:r w:rsidRPr="007667C7">
      <w:rPr>
        <w:rFonts w:ascii="Arial" w:hAnsi="Arial"/>
        <w:b/>
        <w:caps/>
      </w:rPr>
      <w:fldChar w:fldCharType="separate"/>
    </w:r>
    <w:r w:rsidR="00B15727">
      <w:rPr>
        <w:rFonts w:ascii="Arial" w:hAnsi="Arial"/>
        <w:b/>
        <w:caps/>
        <w:noProof/>
      </w:rPr>
      <w:t>23</w:t>
    </w:r>
    <w:r w:rsidRPr="007667C7">
      <w:rPr>
        <w:rFonts w:ascii="Arial" w:hAnsi="Arial"/>
        <w:b/>
        <w:caps/>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B08422C"/>
    <w:lvl w:ilvl="0">
      <w:start w:val="2"/>
      <w:numFmt w:val="decimal"/>
      <w:lvlText w:val="%1."/>
      <w:lvlJc w:val="left"/>
      <w:pPr>
        <w:tabs>
          <w:tab w:val="num" w:pos="360"/>
        </w:tabs>
        <w:ind w:left="0" w:firstLine="0"/>
      </w:pPr>
      <w:rPr>
        <w:rFonts w:ascii="B New Century Schlbk Bold" w:hAnsi="B New Century Schlbk Bold" w:hint="default"/>
        <w:b w:val="0"/>
      </w:rPr>
    </w:lvl>
  </w:abstractNum>
  <w:abstractNum w:abstractNumId="1">
    <w:nsid w:val="00000002"/>
    <w:multiLevelType w:val="singleLevel"/>
    <w:tmpl w:val="00000000"/>
    <w:lvl w:ilvl="0">
      <w:start w:val="4"/>
      <w:numFmt w:val="decimal"/>
      <w:lvlText w:val="%1."/>
      <w:lvlJc w:val="left"/>
      <w:pPr>
        <w:tabs>
          <w:tab w:val="num" w:pos="576"/>
        </w:tabs>
        <w:ind w:left="576" w:hanging="576"/>
      </w:pPr>
      <w:rPr>
        <w:rFonts w:ascii="Verdana" w:hAnsi="Verdana" w:hint="default"/>
        <w:b/>
        <w:i w:val="0"/>
        <w:sz w:val="24"/>
      </w:rPr>
    </w:lvl>
  </w:abstractNum>
  <w:abstractNum w:abstractNumId="2">
    <w:nsid w:val="00000003"/>
    <w:multiLevelType w:val="singleLevel"/>
    <w:tmpl w:val="00000000"/>
    <w:lvl w:ilvl="0">
      <w:start w:val="4"/>
      <w:numFmt w:val="decimal"/>
      <w:lvlText w:val="%1."/>
      <w:lvlJc w:val="left"/>
      <w:pPr>
        <w:tabs>
          <w:tab w:val="num" w:pos="576"/>
        </w:tabs>
        <w:ind w:left="576" w:hanging="576"/>
      </w:pPr>
      <w:rPr>
        <w:rFonts w:ascii="Verdana" w:hAnsi="Verdana" w:hint="default"/>
        <w:b/>
        <w:i w:val="0"/>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3E9"/>
    <w:rsid w:val="0004349B"/>
    <w:rsid w:val="00050608"/>
    <w:rsid w:val="00050D0F"/>
    <w:rsid w:val="000627A9"/>
    <w:rsid w:val="00134C12"/>
    <w:rsid w:val="002779C0"/>
    <w:rsid w:val="002B4CEF"/>
    <w:rsid w:val="002B4FE0"/>
    <w:rsid w:val="002E1777"/>
    <w:rsid w:val="003272E2"/>
    <w:rsid w:val="00344328"/>
    <w:rsid w:val="003B1A82"/>
    <w:rsid w:val="003B5B02"/>
    <w:rsid w:val="003D4FCB"/>
    <w:rsid w:val="00400C02"/>
    <w:rsid w:val="00410784"/>
    <w:rsid w:val="004A28D8"/>
    <w:rsid w:val="00512C87"/>
    <w:rsid w:val="005B71E7"/>
    <w:rsid w:val="00607678"/>
    <w:rsid w:val="00643CBA"/>
    <w:rsid w:val="00655D1E"/>
    <w:rsid w:val="006D272C"/>
    <w:rsid w:val="007475A4"/>
    <w:rsid w:val="007667C7"/>
    <w:rsid w:val="007C42A8"/>
    <w:rsid w:val="007E23CF"/>
    <w:rsid w:val="00804D5B"/>
    <w:rsid w:val="00912F75"/>
    <w:rsid w:val="009A13E9"/>
    <w:rsid w:val="009B4805"/>
    <w:rsid w:val="009B4B75"/>
    <w:rsid w:val="009D0104"/>
    <w:rsid w:val="00A07A74"/>
    <w:rsid w:val="00A527E0"/>
    <w:rsid w:val="00B15727"/>
    <w:rsid w:val="00B37F0F"/>
    <w:rsid w:val="00B6201E"/>
    <w:rsid w:val="00B82C24"/>
    <w:rsid w:val="00B931F0"/>
    <w:rsid w:val="00BC2CF4"/>
    <w:rsid w:val="00C0181F"/>
    <w:rsid w:val="00C02475"/>
    <w:rsid w:val="00C071B5"/>
    <w:rsid w:val="00C17F6E"/>
    <w:rsid w:val="00C335D8"/>
    <w:rsid w:val="00CE49A2"/>
    <w:rsid w:val="00CF5D86"/>
    <w:rsid w:val="00D21A57"/>
    <w:rsid w:val="00D64A0C"/>
    <w:rsid w:val="00D80989"/>
    <w:rsid w:val="00D955B7"/>
    <w:rsid w:val="00DC367D"/>
    <w:rsid w:val="00DC54EA"/>
    <w:rsid w:val="00E04737"/>
    <w:rsid w:val="00E150D1"/>
    <w:rsid w:val="00E34196"/>
    <w:rsid w:val="00E46EF9"/>
    <w:rsid w:val="00EB688A"/>
    <w:rsid w:val="00ED4015"/>
    <w:rsid w:val="00F2196F"/>
    <w:rsid w:val="00FC2A00"/>
    <w:rsid w:val="00FF0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F2E1C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rPr>
  </w:style>
  <w:style w:type="paragraph" w:styleId="Heading2">
    <w:name w:val="heading 2"/>
    <w:basedOn w:val="Normal"/>
    <w:next w:val="Normal"/>
    <w:qFormat/>
    <w:pPr>
      <w:keepNext/>
      <w:ind w:left="360" w:right="200"/>
      <w:jc w:val="center"/>
      <w:outlineLvl w:val="1"/>
    </w:pPr>
    <w:rPr>
      <w:rFonts w:ascii="New Century Schlbk" w:hAnsi="New Century Schlbk"/>
      <w:b/>
      <w:smallCaps/>
    </w:rPr>
  </w:style>
  <w:style w:type="paragraph" w:styleId="Heading3">
    <w:name w:val="heading 3"/>
    <w:basedOn w:val="Normal"/>
    <w:next w:val="Normal"/>
    <w:qFormat/>
    <w:pPr>
      <w:keepNext/>
      <w:ind w:left="1160" w:hanging="440"/>
      <w:jc w:val="both"/>
      <w:outlineLvl w:val="2"/>
    </w:pPr>
    <w:rPr>
      <w:rFonts w:ascii="New Century Schlbk" w:hAnsi="New Century Schlbk"/>
      <w:b/>
      <w:smallCaps/>
      <w:sz w:val="20"/>
    </w:rPr>
  </w:style>
  <w:style w:type="paragraph" w:styleId="Heading4">
    <w:name w:val="heading 4"/>
    <w:basedOn w:val="Normal"/>
    <w:next w:val="Normal"/>
    <w:qFormat/>
    <w:pPr>
      <w:keepNext/>
      <w:ind w:left="360" w:right="200"/>
      <w:jc w:val="center"/>
      <w:outlineLvl w:val="3"/>
    </w:pPr>
    <w:rPr>
      <w:rFonts w:ascii="New Century Schlbk" w:hAnsi="New Century Schlbk"/>
      <w:b/>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jc w:val="both"/>
      <w:outlineLvl w:val="6"/>
    </w:pPr>
    <w:rPr>
      <w:rFonts w:ascii="B New Century Schlbk Bold" w:hAnsi="B New Century Schlbk Bold"/>
      <w:smallCaps/>
      <w:sz w:val="28"/>
    </w:rPr>
  </w:style>
  <w:style w:type="paragraph" w:styleId="Heading8">
    <w:name w:val="heading 8"/>
    <w:basedOn w:val="Normal"/>
    <w:next w:val="Normal"/>
    <w:qFormat/>
    <w:pPr>
      <w:keepNext/>
      <w:ind w:right="20"/>
      <w:jc w:val="center"/>
      <w:outlineLvl w:val="7"/>
    </w:pPr>
    <w:rPr>
      <w:rFonts w:ascii="I New Century Schlbk Italic" w:hAnsi="I New Century Schlbk Itali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lockText">
    <w:name w:val="Block Text"/>
    <w:basedOn w:val="Normal"/>
    <w:pPr>
      <w:ind w:left="360" w:right="80" w:hanging="360"/>
      <w:jc w:val="both"/>
    </w:pPr>
    <w:rPr>
      <w:rFonts w:ascii="New Century Schlbk" w:hAnsi="New Century Schlbk"/>
      <w:b/>
      <w:sz w:val="14"/>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rFonts w:ascii="Bookman" w:hAnsi="Bookman"/>
      <w:sz w:val="24"/>
    </w:rPr>
  </w:style>
  <w:style w:type="paragraph" w:styleId="BalloonText">
    <w:name w:val="Balloon Text"/>
    <w:basedOn w:val="Normal"/>
    <w:link w:val="BalloonTextChar"/>
    <w:uiPriority w:val="99"/>
    <w:semiHidden/>
    <w:unhideWhenUsed/>
    <w:rsid w:val="00FC2A00"/>
    <w:rPr>
      <w:rFonts w:ascii="Lucida Grande" w:hAnsi="Lucida Grande"/>
      <w:sz w:val="18"/>
      <w:szCs w:val="18"/>
    </w:rPr>
  </w:style>
  <w:style w:type="character" w:customStyle="1" w:styleId="BalloonTextChar">
    <w:name w:val="Balloon Text Char"/>
    <w:basedOn w:val="DefaultParagraphFont"/>
    <w:link w:val="BalloonText"/>
    <w:uiPriority w:val="99"/>
    <w:semiHidden/>
    <w:rsid w:val="00FC2A0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Bookman" w:hAnsi="Bookman"/>
      <w:sz w:val="24"/>
    </w:rPr>
  </w:style>
  <w:style w:type="paragraph" w:styleId="Heading1">
    <w:name w:val="heading 1"/>
    <w:basedOn w:val="Normal"/>
    <w:next w:val="Normal"/>
    <w:qFormat/>
    <w:pPr>
      <w:keepNext/>
      <w:jc w:val="both"/>
      <w:outlineLvl w:val="0"/>
    </w:pPr>
    <w:rPr>
      <w:rFonts w:ascii="New Century Schlbk" w:hAnsi="New Century Schlbk"/>
      <w:b/>
    </w:rPr>
  </w:style>
  <w:style w:type="paragraph" w:styleId="Heading2">
    <w:name w:val="heading 2"/>
    <w:basedOn w:val="Normal"/>
    <w:next w:val="Normal"/>
    <w:qFormat/>
    <w:pPr>
      <w:keepNext/>
      <w:ind w:left="360" w:right="200"/>
      <w:jc w:val="center"/>
      <w:outlineLvl w:val="1"/>
    </w:pPr>
    <w:rPr>
      <w:rFonts w:ascii="New Century Schlbk" w:hAnsi="New Century Schlbk"/>
      <w:b/>
      <w:smallCaps/>
    </w:rPr>
  </w:style>
  <w:style w:type="paragraph" w:styleId="Heading3">
    <w:name w:val="heading 3"/>
    <w:basedOn w:val="Normal"/>
    <w:next w:val="Normal"/>
    <w:qFormat/>
    <w:pPr>
      <w:keepNext/>
      <w:ind w:left="1160" w:hanging="440"/>
      <w:jc w:val="both"/>
      <w:outlineLvl w:val="2"/>
    </w:pPr>
    <w:rPr>
      <w:rFonts w:ascii="New Century Schlbk" w:hAnsi="New Century Schlbk"/>
      <w:b/>
      <w:smallCaps/>
      <w:sz w:val="20"/>
    </w:rPr>
  </w:style>
  <w:style w:type="paragraph" w:styleId="Heading4">
    <w:name w:val="heading 4"/>
    <w:basedOn w:val="Normal"/>
    <w:next w:val="Normal"/>
    <w:qFormat/>
    <w:pPr>
      <w:keepNext/>
      <w:ind w:left="360" w:right="200"/>
      <w:jc w:val="center"/>
      <w:outlineLvl w:val="3"/>
    </w:pPr>
    <w:rPr>
      <w:rFonts w:ascii="New Century Schlbk" w:hAnsi="New Century Schlbk"/>
      <w:b/>
      <w:i/>
      <w:sz w:val="36"/>
    </w:rPr>
  </w:style>
  <w:style w:type="paragraph" w:styleId="Heading5">
    <w:name w:val="heading 5"/>
    <w:basedOn w:val="Normal"/>
    <w:next w:val="Normal"/>
    <w:qFormat/>
    <w:pPr>
      <w:keepNext/>
      <w:ind w:left="1170" w:hanging="450"/>
      <w:jc w:val="both"/>
      <w:outlineLvl w:val="4"/>
    </w:pPr>
    <w:rPr>
      <w:rFonts w:ascii="New Century Schlbk" w:hAnsi="New Century Schlbk"/>
      <w:b/>
      <w:smallCaps/>
      <w:sz w:val="20"/>
    </w:rPr>
  </w:style>
  <w:style w:type="paragraph" w:styleId="Heading6">
    <w:name w:val="heading 6"/>
    <w:basedOn w:val="Normal"/>
    <w:next w:val="Normal"/>
    <w:qFormat/>
    <w:pPr>
      <w:keepNext/>
      <w:ind w:left="360" w:right="200"/>
      <w:jc w:val="center"/>
      <w:outlineLvl w:val="5"/>
    </w:pPr>
    <w:rPr>
      <w:rFonts w:ascii="New Century Schlbk" w:hAnsi="New Century Schlbk"/>
      <w:b/>
      <w:smallCaps/>
      <w:sz w:val="28"/>
    </w:rPr>
  </w:style>
  <w:style w:type="paragraph" w:styleId="Heading7">
    <w:name w:val="heading 7"/>
    <w:basedOn w:val="Normal"/>
    <w:next w:val="Normal"/>
    <w:qFormat/>
    <w:pPr>
      <w:keepNext/>
      <w:jc w:val="both"/>
      <w:outlineLvl w:val="6"/>
    </w:pPr>
    <w:rPr>
      <w:rFonts w:ascii="B New Century Schlbk Bold" w:hAnsi="B New Century Schlbk Bold"/>
      <w:smallCaps/>
      <w:sz w:val="28"/>
    </w:rPr>
  </w:style>
  <w:style w:type="paragraph" w:styleId="Heading8">
    <w:name w:val="heading 8"/>
    <w:basedOn w:val="Normal"/>
    <w:next w:val="Normal"/>
    <w:qFormat/>
    <w:pPr>
      <w:keepNext/>
      <w:ind w:right="20"/>
      <w:jc w:val="center"/>
      <w:outlineLvl w:val="7"/>
    </w:pPr>
    <w:rPr>
      <w:rFonts w:ascii="I New Century Schlbk Italic" w:hAnsi="I New Century Schlbk Italic"/>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sz w:val="20"/>
    </w:rPr>
  </w:style>
  <w:style w:type="character" w:styleId="PageNumber">
    <w:name w:val="page number"/>
    <w:basedOn w:val="DefaultParagraphFont"/>
  </w:style>
  <w:style w:type="paragraph" w:customStyle="1" w:styleId="CaseSyn">
    <w:name w:val="Case Syn"/>
    <w:basedOn w:val="Normal"/>
    <w:pPr>
      <w:spacing w:line="220" w:lineRule="atLeast"/>
      <w:ind w:left="360" w:right="200"/>
      <w:jc w:val="center"/>
    </w:pPr>
    <w:rPr>
      <w:rFonts w:ascii="New Century Schlbk" w:hAnsi="New Century Schlbk"/>
      <w:b/>
      <w:smallCaps/>
      <w:sz w:val="20"/>
    </w:rPr>
  </w:style>
  <w:style w:type="paragraph" w:customStyle="1" w:styleId="CaseTitle">
    <w:name w:val="Case Title"/>
    <w:basedOn w:val="Normal"/>
    <w:pPr>
      <w:spacing w:line="260" w:lineRule="atLeast"/>
      <w:ind w:left="360" w:right="200"/>
      <w:jc w:val="center"/>
    </w:pPr>
    <w:rPr>
      <w:rFonts w:ascii="New Century Schlbk" w:hAnsi="New Century Schlbk"/>
      <w:b/>
      <w:i/>
    </w:rPr>
  </w:style>
  <w:style w:type="paragraph" w:customStyle="1" w:styleId="Boxtext">
    <w:name w:val="Box text"/>
    <w:basedOn w:val="Normal"/>
    <w:pPr>
      <w:spacing w:line="220" w:lineRule="atLeast"/>
      <w:ind w:left="360" w:right="200"/>
      <w:jc w:val="both"/>
    </w:pPr>
    <w:rPr>
      <w:rFonts w:ascii="New Century Schlbk" w:hAnsi="New Century Schlbk"/>
      <w:sz w:val="20"/>
    </w:rPr>
  </w:style>
  <w:style w:type="paragraph" w:customStyle="1" w:styleId="bookman12">
    <w:name w:val="bookman 12"/>
    <w:basedOn w:val="Normal"/>
    <w:rPr>
      <w:rFonts w:ascii="Times" w:hAnsi="Times"/>
      <w:sz w:val="28"/>
    </w:rPr>
  </w:style>
  <w:style w:type="paragraph" w:customStyle="1" w:styleId="normal0">
    <w:name w:val="normal"/>
    <w:basedOn w:val="Normal"/>
    <w:pPr>
      <w:suppressLineNumbers/>
      <w:tabs>
        <w:tab w:val="left" w:pos="80"/>
        <w:tab w:val="left" w:pos="720"/>
        <w:tab w:val="left" w:pos="4400"/>
      </w:tabs>
      <w:spacing w:line="480" w:lineRule="atLeast"/>
      <w:ind w:firstLine="720"/>
    </w:pPr>
    <w:rPr>
      <w:rFonts w:ascii="Times" w:hAnsi="Times"/>
      <w:sz w:val="28"/>
    </w:rPr>
  </w:style>
  <w:style w:type="paragraph" w:customStyle="1" w:styleId="FontTimes12point">
    <w:name w:val="Font: Times 12 point"/>
    <w:aliases w:val="flush left"/>
    <w:basedOn w:val="Normal"/>
    <w:rPr>
      <w:rFonts w:ascii="New York" w:hAnsi="New York"/>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bre">
    <w:name w:val="bre"/>
    <w:basedOn w:val="Normal"/>
    <w:rPr>
      <w:rFonts w:ascii="New York" w:hAnsi="New York"/>
    </w:rPr>
  </w:style>
  <w:style w:type="paragraph" w:styleId="BodyTextIndent">
    <w:name w:val="Body Text Indent"/>
    <w:basedOn w:val="Normal"/>
    <w:pPr>
      <w:ind w:left="1160" w:hanging="440"/>
      <w:jc w:val="both"/>
    </w:pPr>
    <w:rPr>
      <w:rFonts w:ascii="New Century Schlbk" w:hAnsi="New Century Schlbk"/>
      <w:sz w:val="20"/>
    </w:rPr>
  </w:style>
  <w:style w:type="paragraph" w:styleId="BlockText">
    <w:name w:val="Block Text"/>
    <w:basedOn w:val="Normal"/>
    <w:pPr>
      <w:ind w:left="360" w:right="80" w:hanging="360"/>
      <w:jc w:val="both"/>
    </w:pPr>
    <w:rPr>
      <w:rFonts w:ascii="New Century Schlbk" w:hAnsi="New Century Schlbk"/>
      <w:b/>
      <w:sz w:val="14"/>
    </w:rPr>
  </w:style>
  <w:style w:type="paragraph" w:styleId="BodyTextIndent2">
    <w:name w:val="Body Text Indent 2"/>
    <w:basedOn w:val="Normal"/>
    <w:pPr>
      <w:spacing w:after="120" w:line="480" w:lineRule="auto"/>
      <w:ind w:left="360"/>
    </w:pPr>
  </w:style>
  <w:style w:type="character" w:customStyle="1" w:styleId="BodyTextIndent2Char">
    <w:name w:val="Body Text Indent 2 Char"/>
    <w:rPr>
      <w:rFonts w:ascii="Bookman" w:hAnsi="Bookman"/>
      <w:sz w:val="24"/>
    </w:rPr>
  </w:style>
  <w:style w:type="paragraph" w:styleId="BalloonText">
    <w:name w:val="Balloon Text"/>
    <w:basedOn w:val="Normal"/>
    <w:link w:val="BalloonTextChar"/>
    <w:uiPriority w:val="99"/>
    <w:semiHidden/>
    <w:unhideWhenUsed/>
    <w:rsid w:val="00FC2A00"/>
    <w:rPr>
      <w:rFonts w:ascii="Lucida Grande" w:hAnsi="Lucida Grande"/>
      <w:sz w:val="18"/>
      <w:szCs w:val="18"/>
    </w:rPr>
  </w:style>
  <w:style w:type="character" w:customStyle="1" w:styleId="BalloonTextChar">
    <w:name w:val="Balloon Text Char"/>
    <w:basedOn w:val="DefaultParagraphFont"/>
    <w:link w:val="BalloonText"/>
    <w:uiPriority w:val="99"/>
    <w:semiHidden/>
    <w:rsid w:val="00FC2A0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24</Pages>
  <Words>10196</Words>
  <Characters>58121</Characters>
  <Application>Microsoft Macintosh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Clark 13e-IM-Ch01</vt:lpstr>
    </vt:vector>
  </TitlesOfParts>
  <Manager/>
  <Company>Eric Hollowell</Company>
  <LinksUpToDate>false</LinksUpToDate>
  <CharactersWithSpaces>68181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Clark 13e-IM-Ch01</dc:title>
  <dc:subject/>
  <dc:creator>Eric Hollowell</dc:creator>
  <cp:keywords/>
  <dc:description/>
  <cp:lastModifiedBy>Suzanne Jasin</cp:lastModifiedBy>
  <cp:revision>12</cp:revision>
  <cp:lastPrinted>2010-09-29T19:03:00Z</cp:lastPrinted>
  <dcterms:created xsi:type="dcterms:W3CDTF">2013-09-20T16:13:00Z</dcterms:created>
  <dcterms:modified xsi:type="dcterms:W3CDTF">2013-09-30T16:34:00Z</dcterms:modified>
  <cp:category/>
</cp:coreProperties>
</file>