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240" w:rsidRDefault="00157240">
      <w:bookmarkStart w:id="0" w:name="_GoBack"/>
      <w:bookmarkEnd w:id="0"/>
    </w:p>
    <w:p w:rsidR="00157240" w:rsidRDefault="00157240" w:rsidP="00157240">
      <w:pPr>
        <w:jc w:val="center"/>
        <w:rPr>
          <w:rFonts w:ascii="Arial Black" w:hAnsi="Arial Black"/>
          <w:sz w:val="36"/>
          <w:szCs w:val="36"/>
        </w:rPr>
      </w:pPr>
      <w:r w:rsidRPr="00157240">
        <w:rPr>
          <w:rFonts w:ascii="Arial Black" w:hAnsi="Arial Black"/>
          <w:sz w:val="36"/>
          <w:szCs w:val="36"/>
        </w:rPr>
        <w:t>Chapter 1</w:t>
      </w:r>
    </w:p>
    <w:p w:rsidR="00157240" w:rsidRDefault="00157240" w:rsidP="00157240">
      <w:pPr>
        <w:jc w:val="center"/>
        <w:rPr>
          <w:rFonts w:ascii="Arial Black" w:hAnsi="Arial Black"/>
          <w:sz w:val="36"/>
          <w:szCs w:val="36"/>
        </w:rPr>
      </w:pPr>
      <w:r w:rsidRPr="00157240">
        <w:rPr>
          <w:rFonts w:ascii="Arial Black" w:hAnsi="Arial Black"/>
          <w:sz w:val="36"/>
          <w:szCs w:val="36"/>
        </w:rPr>
        <w:t xml:space="preserve">Introduction to Taxation, the </w:t>
      </w:r>
    </w:p>
    <w:p w:rsidR="00157240" w:rsidRDefault="00157240" w:rsidP="00157240">
      <w:pPr>
        <w:jc w:val="center"/>
        <w:rPr>
          <w:rFonts w:ascii="Arial Black" w:hAnsi="Arial Black"/>
          <w:sz w:val="36"/>
          <w:szCs w:val="36"/>
        </w:rPr>
      </w:pPr>
      <w:r w:rsidRPr="00157240">
        <w:rPr>
          <w:rFonts w:ascii="Arial Black" w:hAnsi="Arial Black"/>
          <w:sz w:val="36"/>
          <w:szCs w:val="36"/>
        </w:rPr>
        <w:t xml:space="preserve">Income Tax Formula, and </w:t>
      </w:r>
    </w:p>
    <w:p w:rsidR="00157240" w:rsidRPr="00157240" w:rsidRDefault="00157240" w:rsidP="00157240">
      <w:pPr>
        <w:jc w:val="center"/>
        <w:rPr>
          <w:rFonts w:ascii="Arial Black" w:hAnsi="Arial Black"/>
          <w:sz w:val="36"/>
          <w:szCs w:val="36"/>
        </w:rPr>
      </w:pPr>
      <w:r w:rsidRPr="00157240">
        <w:rPr>
          <w:rFonts w:ascii="Arial Black" w:hAnsi="Arial Black"/>
          <w:sz w:val="36"/>
          <w:szCs w:val="36"/>
        </w:rPr>
        <w:t>Form 1040EZ</w:t>
      </w:r>
    </w:p>
    <w:p w:rsidR="00157240" w:rsidRDefault="00157240"/>
    <w:p w:rsidR="00157240" w:rsidRPr="00157240" w:rsidRDefault="00157240">
      <w:pPr>
        <w:rPr>
          <w:b/>
        </w:rPr>
      </w:pPr>
      <w:r w:rsidRPr="00157240">
        <w:rPr>
          <w:b/>
        </w:rPr>
        <w:t>Learning Objectives</w:t>
      </w:r>
    </w:p>
    <w:p w:rsidR="00157240" w:rsidRDefault="00157240"/>
    <w:p w:rsidR="00157240" w:rsidRDefault="00157240" w:rsidP="00157240">
      <w:pPr>
        <w:ind w:left="432"/>
      </w:pPr>
      <w:r>
        <w:t>LO 1.  Understand progressive, proportional, and regressive tax structures</w:t>
      </w:r>
    </w:p>
    <w:p w:rsidR="00157240" w:rsidRDefault="00157240" w:rsidP="00157240">
      <w:pPr>
        <w:ind w:left="432"/>
      </w:pPr>
      <w:r>
        <w:t>LO 2.  Understand the concepts of average and marginal tax rates as well as a simple income tax formula.</w:t>
      </w:r>
    </w:p>
    <w:p w:rsidR="00157240" w:rsidRDefault="00157240" w:rsidP="00157240">
      <w:pPr>
        <w:ind w:left="432"/>
      </w:pPr>
      <w:r>
        <w:t xml:space="preserve">LO 3.  Understand the components of a </w:t>
      </w:r>
      <w:r w:rsidR="00823065">
        <w:t xml:space="preserve">Form </w:t>
      </w:r>
      <w:r>
        <w:t>1040EZ income tax return.</w:t>
      </w:r>
    </w:p>
    <w:p w:rsidR="00157240" w:rsidRDefault="00157240" w:rsidP="00157240">
      <w:pPr>
        <w:ind w:left="432"/>
      </w:pPr>
      <w:r>
        <w:t>LO 4.  Determine tax liability in instances whe</w:t>
      </w:r>
      <w:r w:rsidR="00B01DED">
        <w:t>n</w:t>
      </w:r>
      <w:r>
        <w:t xml:space="preserve"> a </w:t>
      </w:r>
      <w:r w:rsidR="00823065">
        <w:t xml:space="preserve">Form </w:t>
      </w:r>
      <w:r>
        <w:t>1040EZ return is appropriate.</w:t>
      </w:r>
    </w:p>
    <w:p w:rsidR="00157240" w:rsidRDefault="00157240" w:rsidP="00157240">
      <w:pPr>
        <w:ind w:left="432"/>
      </w:pPr>
      <w:r>
        <w:t>LO 5.  Understand the types of tax authority and how they interrelate (Appendix A).</w:t>
      </w:r>
    </w:p>
    <w:p w:rsidR="00E55137" w:rsidRDefault="00E55137" w:rsidP="00157240">
      <w:pPr>
        <w:ind w:left="432"/>
      </w:pPr>
      <w:r>
        <w:t>LO 6.  Understand the provisions of IRS Circular 230 for paid tax preparers (Appendix B).</w:t>
      </w:r>
    </w:p>
    <w:p w:rsidR="00157240" w:rsidRDefault="00157240"/>
    <w:p w:rsidR="00157240" w:rsidRDefault="00157240"/>
    <w:p w:rsidR="00157240" w:rsidRPr="00157240" w:rsidRDefault="00157240">
      <w:pPr>
        <w:rPr>
          <w:b/>
        </w:rPr>
      </w:pPr>
      <w:r w:rsidRPr="00157240">
        <w:rPr>
          <w:b/>
        </w:rPr>
        <w:t>Topics of Primary Importance</w:t>
      </w:r>
    </w:p>
    <w:p w:rsidR="00157240" w:rsidRDefault="00157240"/>
    <w:p w:rsidR="00F66FC6" w:rsidRDefault="00F66FC6" w:rsidP="00BF56B6">
      <w:pPr>
        <w:numPr>
          <w:ilvl w:val="0"/>
          <w:numId w:val="2"/>
        </w:numPr>
      </w:pPr>
      <w:r>
        <w:t>Determination of taxable income.</w:t>
      </w:r>
    </w:p>
    <w:p w:rsidR="00157240" w:rsidRDefault="007C2923" w:rsidP="00BF56B6">
      <w:pPr>
        <w:numPr>
          <w:ilvl w:val="0"/>
          <w:numId w:val="2"/>
        </w:numPr>
      </w:pPr>
      <w:r>
        <w:t>Calculation of tax liability.</w:t>
      </w:r>
    </w:p>
    <w:p w:rsidR="00157240" w:rsidRDefault="00D93987" w:rsidP="00BF56B6">
      <w:pPr>
        <w:numPr>
          <w:ilvl w:val="0"/>
          <w:numId w:val="2"/>
        </w:numPr>
      </w:pPr>
      <w:r>
        <w:t>The types of tax authority and relative strengths.</w:t>
      </w:r>
    </w:p>
    <w:p w:rsidR="00157240" w:rsidRDefault="00157240"/>
    <w:p w:rsidR="00157240" w:rsidRDefault="00157240"/>
    <w:p w:rsidR="00157240" w:rsidRPr="00157240" w:rsidRDefault="00157240">
      <w:pPr>
        <w:rPr>
          <w:b/>
        </w:rPr>
      </w:pPr>
      <w:r w:rsidRPr="00157240">
        <w:rPr>
          <w:b/>
        </w:rPr>
        <w:t>Student Confusion Areas</w:t>
      </w:r>
    </w:p>
    <w:p w:rsidR="00157240" w:rsidRDefault="00157240"/>
    <w:p w:rsidR="00157240" w:rsidRDefault="00BF56B6" w:rsidP="00BF56B6">
      <w:pPr>
        <w:numPr>
          <w:ilvl w:val="0"/>
          <w:numId w:val="3"/>
        </w:numPr>
      </w:pPr>
      <w:r>
        <w:t>U</w:t>
      </w:r>
      <w:r w:rsidR="00F0664D">
        <w:t>nderstand</w:t>
      </w:r>
      <w:r>
        <w:t xml:space="preserve">ing </w:t>
      </w:r>
      <w:r w:rsidR="00F0664D">
        <w:t>tax terminology</w:t>
      </w:r>
      <w:r>
        <w:t xml:space="preserve"> and the precision inherent in terminology</w:t>
      </w:r>
      <w:r w:rsidR="00F0664D">
        <w:t>.</w:t>
      </w:r>
    </w:p>
    <w:p w:rsidR="00F0664D" w:rsidRDefault="00F04907" w:rsidP="00BF56B6">
      <w:pPr>
        <w:numPr>
          <w:ilvl w:val="0"/>
          <w:numId w:val="3"/>
        </w:numPr>
      </w:pPr>
      <w:r>
        <w:t>The difference between marginal tax rates and average tax rates.</w:t>
      </w:r>
    </w:p>
    <w:p w:rsidR="00157240" w:rsidRDefault="007C2923" w:rsidP="00BF56B6">
      <w:pPr>
        <w:numPr>
          <w:ilvl w:val="0"/>
          <w:numId w:val="3"/>
        </w:numPr>
      </w:pPr>
      <w:r>
        <w:t xml:space="preserve">The tax refund or amount owed is simply the amount to “settle up” with the IRS.  It does not represent the amount of tax liability.  </w:t>
      </w:r>
    </w:p>
    <w:p w:rsidR="007C2923" w:rsidRDefault="007C2923"/>
    <w:p w:rsidR="00157240" w:rsidRDefault="00157240"/>
    <w:p w:rsidR="00157240" w:rsidRPr="000E3174" w:rsidRDefault="00F66FC6">
      <w:pPr>
        <w:rPr>
          <w:b/>
          <w:u w:val="single"/>
        </w:rPr>
      </w:pPr>
      <w:r w:rsidRPr="000E3174">
        <w:rPr>
          <w:b/>
          <w:u w:val="single"/>
        </w:rPr>
        <w:t>Note to Instruct</w:t>
      </w:r>
      <w:r w:rsidR="00BF56B6" w:rsidRPr="000E3174">
        <w:rPr>
          <w:b/>
          <w:u w:val="single"/>
        </w:rPr>
        <w:t>o</w:t>
      </w:r>
      <w:r w:rsidRPr="000E3174">
        <w:rPr>
          <w:b/>
          <w:u w:val="single"/>
        </w:rPr>
        <w:t>r</w:t>
      </w:r>
    </w:p>
    <w:p w:rsidR="00BF56B6" w:rsidRDefault="00BF56B6"/>
    <w:p w:rsidR="00D93987" w:rsidRDefault="00F66FC6">
      <w:r>
        <w:t xml:space="preserve">We have designed this text to be used with the </w:t>
      </w:r>
      <w:proofErr w:type="spellStart"/>
      <w:r>
        <w:t>TaxACT</w:t>
      </w:r>
      <w:proofErr w:type="spellEnd"/>
      <w:r>
        <w:t xml:space="preserve"> software and you can easily incorporate the software in your instruction and student homework.  </w:t>
      </w:r>
      <w:r w:rsidR="00A128A2" w:rsidRPr="000E3174">
        <w:rPr>
          <w:b/>
          <w:i/>
        </w:rPr>
        <w:t>Alternatively</w:t>
      </w:r>
      <w:r w:rsidR="00A128A2" w:rsidRPr="000E3174">
        <w:rPr>
          <w:b/>
        </w:rPr>
        <w:t>,</w:t>
      </w:r>
      <w:r w:rsidR="00A128A2">
        <w:t xml:space="preserve"> y</w:t>
      </w:r>
      <w:r>
        <w:t>ou can choose</w:t>
      </w:r>
      <w:r w:rsidR="00823065">
        <w:t xml:space="preserve"> to ignore the software and</w:t>
      </w:r>
      <w:r>
        <w:t xml:space="preserve"> have students use IRS forms and calculate returns by hand. </w:t>
      </w:r>
      <w:r w:rsidR="00567B87">
        <w:t xml:space="preserve"> Some instructors require students to calculate returns by hand for the first three to five chapters and then switch to the software.  </w:t>
      </w:r>
      <w:r w:rsidR="00567B87" w:rsidRPr="00A9499B">
        <w:rPr>
          <w:u w:val="single"/>
        </w:rPr>
        <w:t>You have complete flexibility</w:t>
      </w:r>
      <w:r w:rsidR="00567B87">
        <w:t>.</w:t>
      </w:r>
    </w:p>
    <w:p w:rsidR="00D93987" w:rsidRDefault="00D93987"/>
    <w:p w:rsidR="00F66FC6" w:rsidRPr="00184634" w:rsidRDefault="00D93987">
      <w:pPr>
        <w:rPr>
          <w:b/>
        </w:rPr>
      </w:pPr>
      <w:r w:rsidRPr="00184634">
        <w:rPr>
          <w:b/>
        </w:rPr>
        <w:lastRenderedPageBreak/>
        <w:t xml:space="preserve">If you have your students use the software, make sure you </w:t>
      </w:r>
      <w:r w:rsidR="00B01DED">
        <w:rPr>
          <w:b/>
        </w:rPr>
        <w:t>require</w:t>
      </w:r>
      <w:r w:rsidRPr="00184634">
        <w:rPr>
          <w:b/>
        </w:rPr>
        <w:t xml:space="preserve"> them </w:t>
      </w:r>
      <w:r w:rsidR="00B01DED">
        <w:rPr>
          <w:b/>
        </w:rPr>
        <w:t xml:space="preserve">to </w:t>
      </w:r>
      <w:r w:rsidRPr="00184634">
        <w:rPr>
          <w:b/>
        </w:rPr>
        <w:t xml:space="preserve">update their software using the </w:t>
      </w:r>
      <w:r w:rsidR="00A9499B">
        <w:rPr>
          <w:b/>
        </w:rPr>
        <w:t xml:space="preserve">online </w:t>
      </w:r>
      <w:r w:rsidRPr="00184634">
        <w:rPr>
          <w:b/>
        </w:rPr>
        <w:t>update feature of the program.</w:t>
      </w:r>
      <w:r w:rsidR="00F66FC6" w:rsidRPr="00184634">
        <w:rPr>
          <w:b/>
        </w:rPr>
        <w:t xml:space="preserve"> </w:t>
      </w:r>
      <w:r w:rsidRPr="00184634">
        <w:rPr>
          <w:b/>
        </w:rPr>
        <w:t xml:space="preserve"> If they fail to do so, they will not be able to print returns.</w:t>
      </w:r>
    </w:p>
    <w:p w:rsidR="00157240" w:rsidRDefault="00157240"/>
    <w:p w:rsidR="00157240" w:rsidRDefault="00157240"/>
    <w:p w:rsidR="00E55137" w:rsidRDefault="00E55137"/>
    <w:p w:rsidR="00E55137" w:rsidRDefault="00E55137"/>
    <w:p w:rsidR="00157240" w:rsidRDefault="00157240"/>
    <w:p w:rsidR="00157240" w:rsidRPr="005E5879" w:rsidRDefault="005E5879" w:rsidP="005E5879">
      <w:pPr>
        <w:jc w:val="center"/>
        <w:rPr>
          <w:b/>
        </w:rPr>
      </w:pPr>
      <w:r w:rsidRPr="005E5879">
        <w:rPr>
          <w:b/>
        </w:rPr>
        <w:t>Notes Outline</w:t>
      </w:r>
    </w:p>
    <w:p w:rsidR="00157240" w:rsidRDefault="00157240"/>
    <w:p w:rsidR="00157240" w:rsidRDefault="00157240"/>
    <w:p w:rsidR="00157240" w:rsidRPr="008179A6" w:rsidRDefault="005E5879" w:rsidP="005E5879">
      <w:pPr>
        <w:rPr>
          <w:b/>
        </w:rPr>
      </w:pPr>
      <w:r w:rsidRPr="008179A6">
        <w:rPr>
          <w:b/>
        </w:rPr>
        <w:t>I.  Introduction</w:t>
      </w:r>
    </w:p>
    <w:p w:rsidR="005E5879" w:rsidRDefault="005E5879" w:rsidP="005E5879"/>
    <w:p w:rsidR="005E5879" w:rsidRDefault="005E5879" w:rsidP="00173197">
      <w:pPr>
        <w:ind w:left="720"/>
      </w:pPr>
      <w:r>
        <w:t xml:space="preserve">A.  The introduction materials help the student understand the legal basis of income taxation, provides an overview of the types of returns and numbers, and an understanding of the dollar volume </w:t>
      </w:r>
      <w:r w:rsidR="00173197">
        <w:t>of income tax collections.</w:t>
      </w:r>
    </w:p>
    <w:p w:rsidR="00173197" w:rsidRDefault="00173197" w:rsidP="00173197">
      <w:pPr>
        <w:ind w:left="720"/>
      </w:pPr>
    </w:p>
    <w:p w:rsidR="00173197" w:rsidRDefault="00173197" w:rsidP="00173197">
      <w:pPr>
        <w:ind w:left="720"/>
      </w:pPr>
      <w:r>
        <w:t xml:space="preserve">B.  Students find the numbers in </w:t>
      </w:r>
      <w:r w:rsidR="0005715C">
        <w:t>T</w:t>
      </w:r>
      <w:r>
        <w:t xml:space="preserve">able 1-1 and the material in the preceding paragraph to be interesting. </w:t>
      </w:r>
    </w:p>
    <w:p w:rsidR="00173197" w:rsidRDefault="00173197" w:rsidP="005E5879"/>
    <w:p w:rsidR="005E5879" w:rsidRDefault="005E5879" w:rsidP="005E5879"/>
    <w:p w:rsidR="005E5879" w:rsidRPr="008179A6" w:rsidRDefault="005E5879" w:rsidP="005E5879">
      <w:pPr>
        <w:rPr>
          <w:b/>
        </w:rPr>
      </w:pPr>
      <w:r w:rsidRPr="008179A6">
        <w:rPr>
          <w:b/>
        </w:rPr>
        <w:t>II.  LO 1 – Understand progressive, proportional, and regressive tax structures</w:t>
      </w:r>
    </w:p>
    <w:p w:rsidR="00F0664D" w:rsidRDefault="00F0664D" w:rsidP="005E5879"/>
    <w:p w:rsidR="00F0664D" w:rsidRDefault="00F0664D" w:rsidP="00F0664D">
      <w:pPr>
        <w:ind w:left="720"/>
      </w:pPr>
      <w:r>
        <w:t>A.  Students need to understand the notions of tax rate and tax base.</w:t>
      </w:r>
    </w:p>
    <w:p w:rsidR="00F0664D" w:rsidRDefault="00F0664D" w:rsidP="00F0664D">
      <w:pPr>
        <w:ind w:left="1440"/>
      </w:pPr>
      <w:r>
        <w:t>1.  The base is the dollar amount upon which tax will be calculated.</w:t>
      </w:r>
    </w:p>
    <w:p w:rsidR="00F0664D" w:rsidRDefault="00F0664D" w:rsidP="00F0664D">
      <w:pPr>
        <w:ind w:left="1440"/>
      </w:pPr>
      <w:r>
        <w:t>2.  The rate is the tax proportion to apply to the base.</w:t>
      </w:r>
    </w:p>
    <w:p w:rsidR="00F0664D" w:rsidRDefault="00F0664D" w:rsidP="005E5879"/>
    <w:p w:rsidR="00F0664D" w:rsidRDefault="00F0664D" w:rsidP="00F0664D">
      <w:pPr>
        <w:ind w:left="720"/>
      </w:pPr>
      <w:r>
        <w:t xml:space="preserve">B.  </w:t>
      </w:r>
      <w:r w:rsidR="00F04907">
        <w:t>P</w:t>
      </w:r>
      <w:r>
        <w:t>rogressive rate structure.</w:t>
      </w:r>
    </w:p>
    <w:p w:rsidR="00F0664D" w:rsidRDefault="00F0664D" w:rsidP="00F0664D">
      <w:pPr>
        <w:ind w:left="720"/>
      </w:pPr>
      <w:r>
        <w:tab/>
        <w:t>1.  Tax rate increases as the tax base increases.</w:t>
      </w:r>
    </w:p>
    <w:p w:rsidR="00F0664D" w:rsidRDefault="00F0664D" w:rsidP="00F0664D">
      <w:pPr>
        <w:ind w:left="1440"/>
      </w:pPr>
      <w:r>
        <w:t xml:space="preserve">2.  </w:t>
      </w:r>
      <w:smartTag w:uri="urn:schemas-microsoft-com:office:smarttags" w:element="country-region">
        <w:smartTag w:uri="urn:schemas-microsoft-com:office:smarttags" w:element="place">
          <w:r>
            <w:t>U.S.</w:t>
          </w:r>
        </w:smartTag>
      </w:smartTag>
      <w:r>
        <w:t xml:space="preserve"> individual income tax system is a progressive system.</w:t>
      </w:r>
    </w:p>
    <w:p w:rsidR="00F0664D" w:rsidRDefault="00F0664D" w:rsidP="00F0664D">
      <w:pPr>
        <w:ind w:left="1440"/>
      </w:pPr>
      <w:r>
        <w:t>3.  Refer students to Table 1-2 or the Tax Rate Schedules in the front of the book.</w:t>
      </w:r>
    </w:p>
    <w:p w:rsidR="00F0664D" w:rsidRDefault="00F0664D" w:rsidP="00F0664D">
      <w:pPr>
        <w:ind w:left="1440"/>
      </w:pPr>
      <w:r>
        <w:t xml:space="preserve">4.  Table 1-3 also illustrates the progressivity of the </w:t>
      </w:r>
      <w:smartTag w:uri="urn:schemas-microsoft-com:office:smarttags" w:element="country-region">
        <w:smartTag w:uri="urn:schemas-microsoft-com:office:smarttags" w:element="place">
          <w:r>
            <w:t>U.S.</w:t>
          </w:r>
        </w:smartTag>
      </w:smartTag>
      <w:r>
        <w:t xml:space="preserve"> tax system.</w:t>
      </w:r>
    </w:p>
    <w:p w:rsidR="00F0664D" w:rsidRDefault="00F0664D" w:rsidP="00F0664D">
      <w:pPr>
        <w:ind w:left="1440"/>
      </w:pPr>
    </w:p>
    <w:p w:rsidR="00F0664D" w:rsidRDefault="00F0664D" w:rsidP="00F0664D">
      <w:pPr>
        <w:ind w:left="720"/>
      </w:pPr>
      <w:r>
        <w:t xml:space="preserve">C.  </w:t>
      </w:r>
      <w:r w:rsidR="00F04907">
        <w:t>P</w:t>
      </w:r>
      <w:r w:rsidR="00BC10D2">
        <w:t>roportional rate structure</w:t>
      </w:r>
      <w:r w:rsidR="00F04907">
        <w:t>.</w:t>
      </w:r>
    </w:p>
    <w:p w:rsidR="00BC10D2" w:rsidRDefault="00BC10D2" w:rsidP="00BC10D2">
      <w:pPr>
        <w:ind w:left="1440"/>
      </w:pPr>
      <w:r>
        <w:t>1.  Tax rate is the same regardless of the tax base.</w:t>
      </w:r>
    </w:p>
    <w:p w:rsidR="00BC10D2" w:rsidRDefault="00BC10D2" w:rsidP="00BC10D2">
      <w:pPr>
        <w:ind w:left="1440"/>
      </w:pPr>
      <w:r>
        <w:t>2.  Common example is state or local sales tax.</w:t>
      </w:r>
    </w:p>
    <w:p w:rsidR="003E23C8" w:rsidRDefault="003E23C8" w:rsidP="00BC10D2">
      <w:pPr>
        <w:ind w:left="1440"/>
      </w:pPr>
      <w:r>
        <w:t>3.  If we change to a flat tax system, we would be changing from a progressive rate structure to a proportional rate structure.</w:t>
      </w:r>
    </w:p>
    <w:p w:rsidR="00F04907" w:rsidRDefault="00F04907" w:rsidP="00BC10D2">
      <w:pPr>
        <w:ind w:left="1440"/>
      </w:pPr>
    </w:p>
    <w:p w:rsidR="00F04907" w:rsidRDefault="00F04907" w:rsidP="00F04907">
      <w:pPr>
        <w:ind w:left="720"/>
      </w:pPr>
      <w:r>
        <w:t>D.  Regressive rate structure.</w:t>
      </w:r>
    </w:p>
    <w:p w:rsidR="00F04907" w:rsidRDefault="00F04907" w:rsidP="00F04907">
      <w:pPr>
        <w:ind w:left="1440"/>
      </w:pPr>
      <w:r>
        <w:t xml:space="preserve">1.  Tax rate decreases as the tax base </w:t>
      </w:r>
      <w:r w:rsidR="00B01DED">
        <w:t>increases</w:t>
      </w:r>
      <w:r>
        <w:t>.</w:t>
      </w:r>
    </w:p>
    <w:p w:rsidR="00F04907" w:rsidRDefault="00F04907" w:rsidP="00F04907">
      <w:pPr>
        <w:ind w:left="1440"/>
      </w:pPr>
      <w:r>
        <w:t>2.  Social security tax is a good example.  Stops at $</w:t>
      </w:r>
      <w:r w:rsidR="00823065">
        <w:t>1</w:t>
      </w:r>
      <w:r w:rsidR="00E55137">
        <w:t>1</w:t>
      </w:r>
      <w:r w:rsidR="000E3174">
        <w:t>8</w:t>
      </w:r>
      <w:r w:rsidR="00823065">
        <w:t>,</w:t>
      </w:r>
      <w:r w:rsidR="000E3174">
        <w:t>5</w:t>
      </w:r>
      <w:r>
        <w:t xml:space="preserve">00 </w:t>
      </w:r>
      <w:r w:rsidR="00E55137">
        <w:t>limit</w:t>
      </w:r>
      <w:r>
        <w:t>.</w:t>
      </w:r>
    </w:p>
    <w:p w:rsidR="00F04907" w:rsidRDefault="00F04907" w:rsidP="00F04907"/>
    <w:p w:rsidR="005E5879" w:rsidRDefault="005E5879" w:rsidP="005E5879"/>
    <w:p w:rsidR="005E5879" w:rsidRPr="008179A6" w:rsidRDefault="005E5879" w:rsidP="005E5879">
      <w:pPr>
        <w:rPr>
          <w:b/>
        </w:rPr>
      </w:pPr>
      <w:r w:rsidRPr="008179A6">
        <w:rPr>
          <w:b/>
        </w:rPr>
        <w:lastRenderedPageBreak/>
        <w:t>III.  LO 2 – Understand the concepts of average and marginal tax rates as well as a simple income tax formula.</w:t>
      </w:r>
    </w:p>
    <w:p w:rsidR="005E5879" w:rsidRDefault="005E5879" w:rsidP="005E5879"/>
    <w:p w:rsidR="005E5879" w:rsidRDefault="003678E6" w:rsidP="003678E6">
      <w:pPr>
        <w:ind w:left="720"/>
      </w:pPr>
      <w:r>
        <w:t>A.  Marginal tax rate is the rate on the next dollar of income.</w:t>
      </w:r>
    </w:p>
    <w:p w:rsidR="008179A6" w:rsidRDefault="008179A6" w:rsidP="003678E6">
      <w:pPr>
        <w:ind w:left="720"/>
      </w:pPr>
    </w:p>
    <w:p w:rsidR="003678E6" w:rsidRDefault="003678E6" w:rsidP="003678E6">
      <w:pPr>
        <w:ind w:left="720"/>
      </w:pPr>
      <w:r>
        <w:t>B.  Average tax rate is the total tax liability divided by taxable income.</w:t>
      </w:r>
    </w:p>
    <w:p w:rsidR="008179A6" w:rsidRDefault="008179A6" w:rsidP="003678E6">
      <w:pPr>
        <w:ind w:left="720"/>
      </w:pPr>
    </w:p>
    <w:p w:rsidR="003678E6" w:rsidRDefault="003678E6" w:rsidP="003678E6">
      <w:pPr>
        <w:ind w:left="720"/>
      </w:pPr>
      <w:r>
        <w:t>C.  Mathematically, an average tax rate is a combination of a series of marginal rates.</w:t>
      </w:r>
    </w:p>
    <w:p w:rsidR="003678E6" w:rsidRDefault="003678E6" w:rsidP="003678E6"/>
    <w:p w:rsidR="005E5879" w:rsidRDefault="003678E6" w:rsidP="003678E6">
      <w:pPr>
        <w:ind w:left="720"/>
      </w:pPr>
      <w:r>
        <w:t>D.  The simple income tax formula that forms the basic structure of all returns is:</w:t>
      </w:r>
    </w:p>
    <w:p w:rsidR="005E5879" w:rsidRDefault="005E5879" w:rsidP="005E5879"/>
    <w:p w:rsidR="003678E6" w:rsidRPr="007E475A" w:rsidRDefault="003678E6" w:rsidP="003678E6">
      <w:pPr>
        <w:ind w:left="720"/>
      </w:pPr>
      <w:r>
        <w:tab/>
      </w:r>
      <w:r w:rsidR="00856F1C">
        <w:t xml:space="preserve">   </w:t>
      </w:r>
      <w:r w:rsidRPr="007E475A">
        <w:t xml:space="preserve">Income </w:t>
      </w:r>
    </w:p>
    <w:p w:rsidR="003678E6" w:rsidRPr="007E475A" w:rsidRDefault="003678E6" w:rsidP="003678E6">
      <w:pPr>
        <w:ind w:left="720"/>
      </w:pPr>
      <w:r w:rsidRPr="007E475A">
        <w:tab/>
        <w:t xml:space="preserve">− Permitted Deductions from Income </w:t>
      </w:r>
    </w:p>
    <w:p w:rsidR="003678E6" w:rsidRPr="007E475A" w:rsidRDefault="003678E6" w:rsidP="003678E6">
      <w:pPr>
        <w:ind w:left="720"/>
      </w:pPr>
      <w:r w:rsidRPr="007E475A">
        <w:tab/>
        <w:t xml:space="preserve">--------------------------------  </w:t>
      </w:r>
    </w:p>
    <w:p w:rsidR="003678E6" w:rsidRPr="007E475A" w:rsidRDefault="003678E6" w:rsidP="003678E6">
      <w:pPr>
        <w:ind w:left="720"/>
      </w:pPr>
      <w:r w:rsidRPr="007E475A">
        <w:tab/>
        <w:t xml:space="preserve">= Taxable Income </w:t>
      </w:r>
    </w:p>
    <w:p w:rsidR="003678E6" w:rsidRPr="007E475A" w:rsidRDefault="003678E6" w:rsidP="003678E6">
      <w:pPr>
        <w:ind w:left="720"/>
      </w:pPr>
      <w:r w:rsidRPr="007E475A">
        <w:tab/>
        <w:t>× Appropriate Tax Rates</w:t>
      </w:r>
    </w:p>
    <w:p w:rsidR="003678E6" w:rsidRPr="007E475A" w:rsidRDefault="003678E6" w:rsidP="003678E6">
      <w:pPr>
        <w:ind w:left="720"/>
      </w:pPr>
      <w:r w:rsidRPr="007E475A">
        <w:tab/>
        <w:t>--------------------------------</w:t>
      </w:r>
    </w:p>
    <w:p w:rsidR="003678E6" w:rsidRPr="007E475A" w:rsidRDefault="003678E6" w:rsidP="003678E6">
      <w:pPr>
        <w:ind w:left="720"/>
      </w:pPr>
      <w:r w:rsidRPr="007E475A">
        <w:tab/>
        <w:t>= Tax Liability</w:t>
      </w:r>
    </w:p>
    <w:p w:rsidR="003678E6" w:rsidRPr="007E475A" w:rsidRDefault="003678E6" w:rsidP="003678E6">
      <w:pPr>
        <w:ind w:left="720"/>
      </w:pPr>
      <w:r w:rsidRPr="007E475A">
        <w:tab/>
        <w:t>− Tax Payments and Tax Credits</w:t>
      </w:r>
    </w:p>
    <w:p w:rsidR="003678E6" w:rsidRPr="007E475A" w:rsidRDefault="003678E6" w:rsidP="003678E6">
      <w:pPr>
        <w:ind w:left="720"/>
      </w:pPr>
      <w:r w:rsidRPr="007E475A">
        <w:tab/>
        <w:t>---------------------------------</w:t>
      </w:r>
    </w:p>
    <w:p w:rsidR="003678E6" w:rsidRPr="007E475A" w:rsidRDefault="003678E6" w:rsidP="003678E6">
      <w:pPr>
        <w:ind w:left="720"/>
      </w:pPr>
      <w:r w:rsidRPr="007E475A">
        <w:tab/>
        <w:t>= Tax Refund or Tax Due with Return</w:t>
      </w:r>
    </w:p>
    <w:p w:rsidR="003678E6" w:rsidRDefault="003678E6" w:rsidP="005E5879"/>
    <w:p w:rsidR="005E5879" w:rsidRDefault="005E5879" w:rsidP="005E5879"/>
    <w:p w:rsidR="005E5879" w:rsidRDefault="005E5879" w:rsidP="005E5879">
      <w:r w:rsidRPr="008179A6">
        <w:rPr>
          <w:b/>
        </w:rPr>
        <w:t>IV.  LO 3 – Understand the components of a 1040EZ income tax return</w:t>
      </w:r>
      <w:r>
        <w:t>.</w:t>
      </w:r>
    </w:p>
    <w:p w:rsidR="005E5879" w:rsidRDefault="005E5879" w:rsidP="005E5879"/>
    <w:p w:rsidR="005E5879" w:rsidRDefault="003678E6" w:rsidP="003678E6">
      <w:pPr>
        <w:ind w:left="720"/>
      </w:pPr>
      <w:r>
        <w:t xml:space="preserve">A.  The 1040EZ is the simplest </w:t>
      </w:r>
      <w:r w:rsidR="000207D6">
        <w:t xml:space="preserve">tax </w:t>
      </w:r>
      <w:r>
        <w:t xml:space="preserve">form </w:t>
      </w:r>
      <w:r w:rsidR="000207D6">
        <w:t>available.</w:t>
      </w:r>
    </w:p>
    <w:p w:rsidR="008179A6" w:rsidRDefault="008179A6" w:rsidP="003678E6">
      <w:pPr>
        <w:ind w:left="720"/>
      </w:pPr>
    </w:p>
    <w:p w:rsidR="000207D6" w:rsidRDefault="000207D6" w:rsidP="003678E6">
      <w:pPr>
        <w:ind w:left="720"/>
      </w:pPr>
      <w:r>
        <w:t>B.  To use the 1040EZ the taxpayer must meet all of the following criteria:</w:t>
      </w:r>
    </w:p>
    <w:p w:rsidR="000207D6" w:rsidRDefault="000207D6" w:rsidP="000207D6">
      <w:pPr>
        <w:numPr>
          <w:ilvl w:val="0"/>
          <w:numId w:val="1"/>
        </w:numPr>
      </w:pPr>
      <w:r>
        <w:t>file the return as either single or married</w:t>
      </w:r>
      <w:r w:rsidR="0005715C">
        <w:t xml:space="preserve"> filing jointly</w:t>
      </w:r>
      <w:r>
        <w:t xml:space="preserve"> </w:t>
      </w:r>
    </w:p>
    <w:p w:rsidR="000207D6" w:rsidRDefault="000207D6" w:rsidP="000207D6">
      <w:pPr>
        <w:numPr>
          <w:ilvl w:val="0"/>
          <w:numId w:val="1"/>
        </w:numPr>
      </w:pPr>
      <w:r>
        <w:t>be under age 65 and not blind</w:t>
      </w:r>
    </w:p>
    <w:p w:rsidR="000207D6" w:rsidRDefault="000207D6" w:rsidP="000207D6">
      <w:pPr>
        <w:numPr>
          <w:ilvl w:val="0"/>
          <w:numId w:val="1"/>
        </w:numPr>
      </w:pPr>
      <w:r>
        <w:t xml:space="preserve">have no dependents </w:t>
      </w:r>
    </w:p>
    <w:p w:rsidR="000207D6" w:rsidRDefault="000207D6" w:rsidP="000207D6">
      <w:pPr>
        <w:numPr>
          <w:ilvl w:val="0"/>
          <w:numId w:val="1"/>
        </w:numPr>
      </w:pPr>
      <w:r>
        <w:t xml:space="preserve">have total taxable income under $100,000 </w:t>
      </w:r>
    </w:p>
    <w:p w:rsidR="000207D6" w:rsidRDefault="000207D6" w:rsidP="000207D6">
      <w:pPr>
        <w:numPr>
          <w:ilvl w:val="0"/>
          <w:numId w:val="1"/>
        </w:numPr>
      </w:pPr>
      <w:r>
        <w:t xml:space="preserve">have income only from wages, salary, tips, unemployment compensation, or taxable interest income </w:t>
      </w:r>
      <w:r w:rsidR="0005715C">
        <w:t xml:space="preserve">of </w:t>
      </w:r>
      <w:r>
        <w:t xml:space="preserve">$1,500 </w:t>
      </w:r>
      <w:r w:rsidR="0005715C">
        <w:t>or less</w:t>
      </w:r>
    </w:p>
    <w:p w:rsidR="000207D6" w:rsidRDefault="000207D6" w:rsidP="000207D6">
      <w:pPr>
        <w:numPr>
          <w:ilvl w:val="0"/>
          <w:numId w:val="1"/>
        </w:numPr>
      </w:pPr>
      <w:r>
        <w:t xml:space="preserve">claim no tax credits except for the Earned Income Credit  </w:t>
      </w:r>
    </w:p>
    <w:p w:rsidR="008179A6" w:rsidRDefault="008179A6" w:rsidP="003678E6">
      <w:pPr>
        <w:ind w:left="720"/>
      </w:pPr>
    </w:p>
    <w:p w:rsidR="000207D6" w:rsidRDefault="000207D6" w:rsidP="003678E6">
      <w:pPr>
        <w:ind w:left="720"/>
      </w:pPr>
      <w:r>
        <w:t xml:space="preserve">C.  </w:t>
      </w:r>
      <w:r w:rsidR="004811FA">
        <w:t>Wages include salaries, tips, commissions, bonuses, severance pay, and other “compensation for services.”</w:t>
      </w:r>
    </w:p>
    <w:p w:rsidR="004811FA" w:rsidRDefault="004811FA" w:rsidP="004811FA">
      <w:pPr>
        <w:ind w:left="1440"/>
      </w:pPr>
      <w:r>
        <w:t>1.  Wages are reported to employees on Form W-2.</w:t>
      </w:r>
    </w:p>
    <w:p w:rsidR="008179A6" w:rsidRDefault="008179A6" w:rsidP="004811FA">
      <w:pPr>
        <w:ind w:left="720"/>
      </w:pPr>
    </w:p>
    <w:p w:rsidR="005E5879" w:rsidRDefault="004811FA" w:rsidP="004811FA">
      <w:pPr>
        <w:ind w:left="720"/>
      </w:pPr>
      <w:r>
        <w:t xml:space="preserve">D.  Interest is generally taxable.  Interest is compensation for the use of money with respect </w:t>
      </w:r>
      <w:r w:rsidR="0005715C">
        <w:t xml:space="preserve">to </w:t>
      </w:r>
      <w:r>
        <w:t>a bona fide debt.</w:t>
      </w:r>
    </w:p>
    <w:p w:rsidR="008179A6" w:rsidRDefault="008179A6" w:rsidP="004811FA">
      <w:pPr>
        <w:ind w:left="720"/>
      </w:pPr>
    </w:p>
    <w:p w:rsidR="007C2923" w:rsidRDefault="007C2923" w:rsidP="004811FA">
      <w:pPr>
        <w:ind w:left="720"/>
      </w:pPr>
      <w:r>
        <w:t>E.  Unemployment compensation is taxable because it is viewed as a substitute for taxable wages.</w:t>
      </w:r>
      <w:r w:rsidR="00567B87">
        <w:t xml:space="preserve">  </w:t>
      </w:r>
    </w:p>
    <w:p w:rsidR="008179A6" w:rsidRDefault="008179A6" w:rsidP="004811FA">
      <w:pPr>
        <w:ind w:left="720"/>
      </w:pPr>
    </w:p>
    <w:p w:rsidR="007C2923" w:rsidRDefault="007C2923" w:rsidP="004811FA">
      <w:pPr>
        <w:ind w:left="720"/>
      </w:pPr>
      <w:r>
        <w:t>F.  Taxpayers are permitted a deduction from income on line 5 of Form 1040EZ.  This deduction is a combination of the standard deduction and personal exemption.  These items are discussed in Chapter 2.</w:t>
      </w:r>
    </w:p>
    <w:p w:rsidR="007C2923" w:rsidRDefault="007C2923" w:rsidP="007C2923">
      <w:pPr>
        <w:ind w:left="1440"/>
      </w:pPr>
      <w:r>
        <w:t xml:space="preserve">1.  The line 5 </w:t>
      </w:r>
      <w:proofErr w:type="gramStart"/>
      <w:r>
        <w:t>deduction</w:t>
      </w:r>
      <w:proofErr w:type="gramEnd"/>
      <w:r>
        <w:t xml:space="preserve"> is either $</w:t>
      </w:r>
      <w:r w:rsidR="00EA09F0">
        <w:t>10</w:t>
      </w:r>
      <w:r>
        <w:t>,</w:t>
      </w:r>
      <w:r w:rsidR="000E3174">
        <w:t>3</w:t>
      </w:r>
      <w:r w:rsidR="00856F1C">
        <w:t>5</w:t>
      </w:r>
      <w:r w:rsidR="000E3174">
        <w:t xml:space="preserve">0 </w:t>
      </w:r>
      <w:r>
        <w:t>for single taxpayers or $</w:t>
      </w:r>
      <w:r w:rsidR="00EA09F0">
        <w:t>20</w:t>
      </w:r>
      <w:r>
        <w:t>,</w:t>
      </w:r>
      <w:r w:rsidR="00856F1C">
        <w:t>7</w:t>
      </w:r>
      <w:r>
        <w:t>00 for taxpayers filing married.</w:t>
      </w:r>
    </w:p>
    <w:p w:rsidR="008179A6" w:rsidRDefault="008179A6" w:rsidP="007C2923">
      <w:pPr>
        <w:ind w:left="720"/>
      </w:pPr>
    </w:p>
    <w:p w:rsidR="005E5879" w:rsidRDefault="007C2923" w:rsidP="007C2923">
      <w:pPr>
        <w:ind w:left="720"/>
      </w:pPr>
      <w:r>
        <w:t>G.  Taxable income is equal to the sum of the income items minus the deduction from income on line 5.</w:t>
      </w:r>
    </w:p>
    <w:p w:rsidR="007C2923" w:rsidRDefault="007C2923" w:rsidP="007C2923">
      <w:pPr>
        <w:ind w:left="1440"/>
      </w:pPr>
      <w:r>
        <w:t>1.  Taxable income is the tax base used to determine tax liability.</w:t>
      </w:r>
    </w:p>
    <w:p w:rsidR="009C5D27" w:rsidRDefault="009C5D27" w:rsidP="007C2923">
      <w:pPr>
        <w:ind w:left="1440"/>
      </w:pPr>
      <w:r>
        <w:t>2.  It is instructive at this point for students to clearly distinguish between total income and taxable income.  This is a case where words have a very precise meaning – total income is very different from taxable income.</w:t>
      </w:r>
    </w:p>
    <w:p w:rsidR="008179A6" w:rsidRDefault="008179A6" w:rsidP="007C2923">
      <w:pPr>
        <w:ind w:left="720"/>
      </w:pPr>
    </w:p>
    <w:p w:rsidR="007C2923" w:rsidRDefault="007C2923" w:rsidP="007C2923">
      <w:pPr>
        <w:ind w:left="720"/>
      </w:pPr>
      <w:r>
        <w:t>H.  In the text, we now skip to calculation of the amount of tax liability.  We do this, at least in part, because we are following the order of the tax form.  We have found that doing so is less confusing to students.</w:t>
      </w:r>
    </w:p>
    <w:p w:rsidR="005E5879" w:rsidRDefault="005E5879" w:rsidP="005E5879"/>
    <w:p w:rsidR="005E5879" w:rsidRDefault="005E5879" w:rsidP="005E5879"/>
    <w:p w:rsidR="005E5879" w:rsidRPr="008179A6" w:rsidRDefault="005E5879" w:rsidP="005E5879">
      <w:pPr>
        <w:rPr>
          <w:b/>
        </w:rPr>
      </w:pPr>
      <w:r w:rsidRPr="008179A6">
        <w:rPr>
          <w:b/>
        </w:rPr>
        <w:t>V.  LO 4 – Determine tax liability in instances whe</w:t>
      </w:r>
      <w:r w:rsidR="00B01DED">
        <w:rPr>
          <w:b/>
        </w:rPr>
        <w:t>n</w:t>
      </w:r>
      <w:r w:rsidRPr="008179A6">
        <w:rPr>
          <w:b/>
        </w:rPr>
        <w:t xml:space="preserve"> a 1040EZ return is appropriate.</w:t>
      </w:r>
    </w:p>
    <w:p w:rsidR="005E5879" w:rsidRDefault="005E5879" w:rsidP="005E5879"/>
    <w:p w:rsidR="005E5879" w:rsidRDefault="007C2923" w:rsidP="007C2923">
      <w:pPr>
        <w:ind w:left="720"/>
      </w:pPr>
      <w:r>
        <w:t xml:space="preserve">A. Tax liability is determined with reference to </w:t>
      </w:r>
      <w:r w:rsidR="009C5D27">
        <w:t>the Tax Tables printed in the back of the text</w:t>
      </w:r>
      <w:r w:rsidR="00476FB6">
        <w:t xml:space="preserve"> and in the instructions to Form 1040 available on the IRS website</w:t>
      </w:r>
      <w:r w:rsidR="009C5D27">
        <w:t xml:space="preserve">. </w:t>
      </w:r>
    </w:p>
    <w:p w:rsidR="008179A6" w:rsidRDefault="008179A6" w:rsidP="007C2923">
      <w:pPr>
        <w:ind w:left="720"/>
      </w:pPr>
    </w:p>
    <w:p w:rsidR="007C2923" w:rsidRDefault="009C5D27" w:rsidP="007C2923">
      <w:pPr>
        <w:ind w:left="720"/>
      </w:pPr>
      <w:r>
        <w:t>B.  Tax Tables only go up to taxable income of $100,000.  This is the limit for use of a 1040EZ.</w:t>
      </w:r>
    </w:p>
    <w:p w:rsidR="007C2923" w:rsidRDefault="007C2923" w:rsidP="007C2923">
      <w:pPr>
        <w:ind w:left="720"/>
      </w:pPr>
    </w:p>
    <w:p w:rsidR="007C2923" w:rsidRDefault="007C2923" w:rsidP="007C2923">
      <w:pPr>
        <w:ind w:left="720"/>
      </w:pPr>
      <w:r w:rsidRPr="007C2923">
        <w:rPr>
          <w:b/>
        </w:rPr>
        <w:t>In-class example.</w:t>
      </w:r>
      <w:r>
        <w:t xml:space="preserve">  Students find it helpful to have some in-class practice determining tax liability </w:t>
      </w:r>
      <w:r w:rsidR="009C5D27">
        <w:t>with reference to the Tax Tables.  The instructor can choose various amounts of taxable income for either single or married taxpayers and have the students “go into” the Tax Tables to determine tax liability.</w:t>
      </w:r>
    </w:p>
    <w:p w:rsidR="005E5879" w:rsidRDefault="005E5879" w:rsidP="005E5879"/>
    <w:p w:rsidR="005E5879" w:rsidRDefault="009C5D27" w:rsidP="009C5D27">
      <w:pPr>
        <w:ind w:left="720"/>
      </w:pPr>
      <w:r>
        <w:t>C.  Point out the effect on tax liability of different filing statuses.  Students can see the effect if they refer to the Tax Tables and read across a row.</w:t>
      </w:r>
    </w:p>
    <w:p w:rsidR="008179A6" w:rsidRDefault="008179A6" w:rsidP="009C5D27">
      <w:pPr>
        <w:ind w:left="720"/>
      </w:pPr>
    </w:p>
    <w:p w:rsidR="009C5D27" w:rsidRDefault="009C5D27" w:rsidP="009C5D27">
      <w:pPr>
        <w:ind w:left="720"/>
      </w:pPr>
      <w:r>
        <w:t>D.  The Tax Table liability is calculated using the mid-point of the taxable income range provided.  Students can calculate precise tax liability using the Tax Rate Schedules in the front of the book and compare their results to the Tax Table numbers.</w:t>
      </w:r>
    </w:p>
    <w:p w:rsidR="009C5D27" w:rsidRDefault="009C5D27" w:rsidP="009C5D27">
      <w:pPr>
        <w:ind w:left="720"/>
      </w:pPr>
    </w:p>
    <w:p w:rsidR="009C5D27" w:rsidRDefault="009C5D27" w:rsidP="009C5D27">
      <w:pPr>
        <w:ind w:left="720"/>
      </w:pPr>
      <w:r w:rsidRPr="009C5D27">
        <w:rPr>
          <w:b/>
        </w:rPr>
        <w:t>In-class discussion point.</w:t>
      </w:r>
      <w:r>
        <w:t xml:space="preserve">  An instructor may wish to ask the question why the Tax Tables are necessary when everyone could use the tax rate schedules and get a precise number.  One reasonable response is that the Tax Tables </w:t>
      </w:r>
      <w:r w:rsidR="00C21429">
        <w:t>are</w:t>
      </w:r>
      <w:r>
        <w:t xml:space="preserve"> easier</w:t>
      </w:r>
      <w:r w:rsidR="00C21429">
        <w:t xml:space="preserve"> to use</w:t>
      </w:r>
      <w:r>
        <w:t xml:space="preserve"> and </w:t>
      </w:r>
      <w:r w:rsidR="00C21429">
        <w:t>are</w:t>
      </w:r>
      <w:r>
        <w:t xml:space="preserve"> not subject to as many errors.</w:t>
      </w:r>
    </w:p>
    <w:p w:rsidR="00C21429" w:rsidRDefault="00C21429" w:rsidP="009C5D27">
      <w:pPr>
        <w:ind w:left="720"/>
      </w:pPr>
    </w:p>
    <w:p w:rsidR="00C21429" w:rsidRDefault="00C21429" w:rsidP="009C5D27">
      <w:pPr>
        <w:ind w:left="720"/>
      </w:pPr>
      <w:r>
        <w:lastRenderedPageBreak/>
        <w:t xml:space="preserve">E.  Taxpayers may be subject to an additional “shared responsibility” tax related to provisions of the Affordable Care Act (ACA).  If taxpayers do not have qualified health care insurance coverage and do not qualify for an exemption, a shared responsibility tax may be due.  The tax is </w:t>
      </w:r>
      <w:r w:rsidR="00230D6A">
        <w:t>the greater of (a) 2</w:t>
      </w:r>
      <w:r w:rsidR="00856F1C">
        <w:t>.5</w:t>
      </w:r>
      <w:r w:rsidR="00230D6A">
        <w:t>% of household income that is greater than an income threshold or (b) a flat dollar amount of $</w:t>
      </w:r>
      <w:r w:rsidR="00856F1C">
        <w:t>695</w:t>
      </w:r>
      <w:r w:rsidR="00230D6A">
        <w:t xml:space="preserve"> per adult, $</w:t>
      </w:r>
      <w:r w:rsidR="00856F1C">
        <w:t>347.50</w:t>
      </w:r>
      <w:r w:rsidR="00230D6A">
        <w:t xml:space="preserve"> per child under 18 with a family maximum of $</w:t>
      </w:r>
      <w:r w:rsidR="00856F1C">
        <w:t>2,085</w:t>
      </w:r>
      <w:r w:rsidR="00230D6A">
        <w:t>.</w:t>
      </w:r>
      <w:r w:rsidR="00767154">
        <w:t xml:space="preserve">  The tax is reported on Form 1040EZ, line 11.  If the taxpayer had qualified health insurance coverage each month of the year, no additional tax is due.</w:t>
      </w:r>
    </w:p>
    <w:p w:rsidR="009C5D27" w:rsidRDefault="009C5D27" w:rsidP="005E5879"/>
    <w:p w:rsidR="009C5D27" w:rsidRDefault="009C5D27" w:rsidP="005E5879"/>
    <w:p w:rsidR="007C2923" w:rsidRDefault="007C2923" w:rsidP="005E5879">
      <w:r w:rsidRPr="008179A6">
        <w:rPr>
          <w:b/>
        </w:rPr>
        <w:t xml:space="preserve">VI.  LO 3 – </w:t>
      </w:r>
      <w:r w:rsidR="00F66FC6" w:rsidRPr="008179A6">
        <w:rPr>
          <w:b/>
        </w:rPr>
        <w:t>Tax payments and d</w:t>
      </w:r>
      <w:r w:rsidRPr="008179A6">
        <w:rPr>
          <w:b/>
        </w:rPr>
        <w:t>etermination of tax refund or amount owed</w:t>
      </w:r>
      <w:r>
        <w:t>.</w:t>
      </w:r>
    </w:p>
    <w:p w:rsidR="005E5879" w:rsidRDefault="005E5879" w:rsidP="005E5879"/>
    <w:p w:rsidR="005E5879" w:rsidRDefault="00F66FC6" w:rsidP="00F66FC6">
      <w:pPr>
        <w:ind w:left="720"/>
      </w:pPr>
      <w:r>
        <w:t>A.  Most taxpayers pay some or all of their tax liability prior to the due date of the return.  The vast majority of taxpayers do so using income tax withholding from their paycheck.  Some taxpayers need to make quarterly estimated tax payments.</w:t>
      </w:r>
    </w:p>
    <w:p w:rsidR="00567B87" w:rsidRDefault="00567B87" w:rsidP="00F66FC6">
      <w:pPr>
        <w:ind w:left="720"/>
      </w:pPr>
    </w:p>
    <w:p w:rsidR="00F66FC6" w:rsidRDefault="00F66FC6" w:rsidP="00F66FC6">
      <w:pPr>
        <w:ind w:left="720"/>
      </w:pPr>
      <w:r>
        <w:t>B.  Taxpayers can take an Earned Income Tax Credit on their Form 1040EZ.  The EIC is discussed in Chapter 9</w:t>
      </w:r>
      <w:r w:rsidR="00A128A2">
        <w:t xml:space="preserve"> along with all other credits</w:t>
      </w:r>
      <w:r>
        <w:t>.</w:t>
      </w:r>
    </w:p>
    <w:p w:rsidR="008179A6" w:rsidRDefault="008179A6" w:rsidP="00F66FC6">
      <w:pPr>
        <w:ind w:left="720"/>
      </w:pPr>
    </w:p>
    <w:p w:rsidR="00F66FC6" w:rsidRDefault="00F66FC6" w:rsidP="00F66FC6">
      <w:pPr>
        <w:ind w:left="720"/>
      </w:pPr>
      <w:r>
        <w:t>C.  The tax refund or tax due with the return is determined by comparing the tax liability on line 1</w:t>
      </w:r>
      <w:r w:rsidR="00476FB6">
        <w:t>2</w:t>
      </w:r>
      <w:r>
        <w:t xml:space="preserve"> with the amount paid on line </w:t>
      </w:r>
      <w:r w:rsidR="00A9499B">
        <w:t>9</w:t>
      </w:r>
      <w:r>
        <w:t>.</w:t>
      </w:r>
    </w:p>
    <w:p w:rsidR="00823065" w:rsidRDefault="00823065" w:rsidP="00F66FC6">
      <w:pPr>
        <w:ind w:left="720"/>
      </w:pPr>
    </w:p>
    <w:p w:rsidR="00F66FC6" w:rsidRDefault="00F66FC6" w:rsidP="00F66FC6">
      <w:pPr>
        <w:ind w:left="720"/>
      </w:pPr>
      <w:r>
        <w:t>D.  The refund or amount owed is the amount needed to “settle up” with the IRS.</w:t>
      </w:r>
    </w:p>
    <w:p w:rsidR="00F66FC6" w:rsidRDefault="00F66FC6" w:rsidP="00F66FC6">
      <w:pPr>
        <w:ind w:left="720"/>
      </w:pPr>
    </w:p>
    <w:p w:rsidR="005E5879" w:rsidRDefault="005E5879" w:rsidP="005E5879"/>
    <w:p w:rsidR="005E5879" w:rsidRPr="008179A6" w:rsidRDefault="005E5879" w:rsidP="005E5879">
      <w:pPr>
        <w:rPr>
          <w:b/>
        </w:rPr>
      </w:pPr>
      <w:r w:rsidRPr="008179A6">
        <w:rPr>
          <w:b/>
        </w:rPr>
        <w:t>VI</w:t>
      </w:r>
      <w:r w:rsidR="003433AE" w:rsidRPr="008179A6">
        <w:rPr>
          <w:b/>
        </w:rPr>
        <w:t>I</w:t>
      </w:r>
      <w:r w:rsidRPr="008179A6">
        <w:rPr>
          <w:b/>
        </w:rPr>
        <w:t>.  LO 5 – Understand the types of tax authority and how they interrelate (Appendix A).</w:t>
      </w:r>
    </w:p>
    <w:p w:rsidR="00157240" w:rsidRDefault="00157240" w:rsidP="005E5879"/>
    <w:p w:rsidR="00C6238F" w:rsidRDefault="00C6238F" w:rsidP="005E5879">
      <w:r w:rsidRPr="00BF56B6">
        <w:rPr>
          <w:i/>
        </w:rPr>
        <w:t>Note to Instructors</w:t>
      </w:r>
      <w:r>
        <w:t xml:space="preserve">.  If you want your students to be able to perform tax research, whether simple or complex, the material in the Appendix is an important starting point.  </w:t>
      </w:r>
    </w:p>
    <w:p w:rsidR="00C6238F" w:rsidRDefault="00C6238F" w:rsidP="005E5879"/>
    <w:p w:rsidR="00157240" w:rsidRDefault="00C6238F" w:rsidP="00C6238F">
      <w:pPr>
        <w:ind w:left="720"/>
      </w:pPr>
      <w:r>
        <w:t>A.  Taxes are complex.  While there are some absolute answers, often “it depends” is the initial response to a tax question.  To determine an answer, the tax practitioner often needs to refer to “tax authority” – the guidelines and precedent that form the basis of proper tax reporting.  The Appendix exposes students to the various types of tax authority and their relative strengths.</w:t>
      </w:r>
    </w:p>
    <w:p w:rsidR="008179A6" w:rsidRDefault="008179A6" w:rsidP="00C6238F">
      <w:pPr>
        <w:ind w:left="720"/>
      </w:pPr>
    </w:p>
    <w:p w:rsidR="00C6238F" w:rsidRDefault="00C6238F" w:rsidP="00C6238F">
      <w:pPr>
        <w:ind w:left="720"/>
      </w:pPr>
      <w:r>
        <w:t>B.  There are three types of tax authority.</w:t>
      </w:r>
    </w:p>
    <w:p w:rsidR="00C6238F" w:rsidRDefault="00C6238F" w:rsidP="00C6238F">
      <w:pPr>
        <w:ind w:left="1440"/>
      </w:pPr>
      <w:r>
        <w:t>1.  Statutory Sources</w:t>
      </w:r>
    </w:p>
    <w:p w:rsidR="00C6238F" w:rsidRDefault="00C6238F" w:rsidP="00C6238F">
      <w:pPr>
        <w:ind w:left="1440"/>
      </w:pPr>
      <w:r>
        <w:t>2.  Administrative Sources</w:t>
      </w:r>
    </w:p>
    <w:p w:rsidR="00C6238F" w:rsidRDefault="00C6238F" w:rsidP="00C6238F">
      <w:pPr>
        <w:ind w:left="1440"/>
      </w:pPr>
      <w:r>
        <w:t>3.  Judicial Sources</w:t>
      </w:r>
    </w:p>
    <w:p w:rsidR="008179A6" w:rsidRDefault="008179A6" w:rsidP="00C6238F">
      <w:pPr>
        <w:ind w:left="720"/>
      </w:pPr>
    </w:p>
    <w:p w:rsidR="00C6238F" w:rsidRDefault="00C6238F" w:rsidP="00C6238F">
      <w:pPr>
        <w:ind w:left="720"/>
      </w:pPr>
      <w:r>
        <w:t>C.  Statutory sources are the U.S. Constitution and tax laws passed by Congress.</w:t>
      </w:r>
      <w:r w:rsidR="00B01DED">
        <w:t xml:space="preserve">  These tax laws comprise the Internal Revenue Code. </w:t>
      </w:r>
    </w:p>
    <w:p w:rsidR="008179A6" w:rsidRDefault="008179A6" w:rsidP="00C6238F">
      <w:pPr>
        <w:ind w:left="720"/>
      </w:pPr>
    </w:p>
    <w:p w:rsidR="00C6238F" w:rsidRDefault="00C6238F" w:rsidP="00C6238F">
      <w:pPr>
        <w:ind w:left="720"/>
      </w:pPr>
      <w:r>
        <w:lastRenderedPageBreak/>
        <w:t>D.  Administrative sources, in order of strength, are:  IRS Regulations, Revenue Rulings, Revenue Procedures, Private Letter Rulings, and IRS Notices.</w:t>
      </w:r>
    </w:p>
    <w:p w:rsidR="008179A6" w:rsidRDefault="008179A6" w:rsidP="00C6238F">
      <w:pPr>
        <w:ind w:left="720"/>
      </w:pPr>
    </w:p>
    <w:p w:rsidR="00C6238F" w:rsidRDefault="00C6238F" w:rsidP="00C6238F">
      <w:pPr>
        <w:ind w:left="720"/>
      </w:pPr>
      <w:r>
        <w:t xml:space="preserve">E.  Judicial </w:t>
      </w:r>
      <w:r w:rsidR="0005715C">
        <w:t>s</w:t>
      </w:r>
      <w:r>
        <w:t>ources are the rulings from the courts</w:t>
      </w:r>
      <w:r w:rsidR="00D93987">
        <w:t>.  Figure 1-1 in the text illustrates applicable courts and appeal tracks.</w:t>
      </w:r>
    </w:p>
    <w:p w:rsidR="00157240" w:rsidRDefault="00157240"/>
    <w:p w:rsidR="00E55137" w:rsidRDefault="00E55137"/>
    <w:p w:rsidR="00E55137" w:rsidRPr="008179A6" w:rsidRDefault="00E55137" w:rsidP="00E55137">
      <w:pPr>
        <w:rPr>
          <w:b/>
        </w:rPr>
      </w:pPr>
      <w:r w:rsidRPr="008179A6">
        <w:rPr>
          <w:b/>
        </w:rPr>
        <w:t>VII</w:t>
      </w:r>
      <w:r>
        <w:rPr>
          <w:b/>
        </w:rPr>
        <w:t>I</w:t>
      </w:r>
      <w:r w:rsidRPr="008179A6">
        <w:rPr>
          <w:b/>
        </w:rPr>
        <w:t xml:space="preserve">.  LO </w:t>
      </w:r>
      <w:r>
        <w:rPr>
          <w:b/>
        </w:rPr>
        <w:t>6</w:t>
      </w:r>
      <w:r w:rsidRPr="008179A6">
        <w:rPr>
          <w:b/>
        </w:rPr>
        <w:t xml:space="preserve"> – Understand the </w:t>
      </w:r>
      <w:r>
        <w:rPr>
          <w:b/>
        </w:rPr>
        <w:t>provisions of IRS Circular 230 for paid</w:t>
      </w:r>
      <w:r w:rsidRPr="008179A6">
        <w:rPr>
          <w:b/>
        </w:rPr>
        <w:t xml:space="preserve"> tax</w:t>
      </w:r>
      <w:r>
        <w:rPr>
          <w:b/>
        </w:rPr>
        <w:t xml:space="preserve"> preparers</w:t>
      </w:r>
      <w:r w:rsidRPr="008179A6">
        <w:rPr>
          <w:b/>
        </w:rPr>
        <w:t xml:space="preserve"> (Appendix </w:t>
      </w:r>
      <w:r>
        <w:rPr>
          <w:b/>
        </w:rPr>
        <w:t>B</w:t>
      </w:r>
      <w:r w:rsidRPr="008179A6">
        <w:rPr>
          <w:b/>
        </w:rPr>
        <w:t>).</w:t>
      </w:r>
    </w:p>
    <w:p w:rsidR="00E55137" w:rsidRDefault="00E55137" w:rsidP="00E55137"/>
    <w:p w:rsidR="00E55137" w:rsidRDefault="00E55137" w:rsidP="00E55137">
      <w:r>
        <w:t>Students and instructors are encouraged to download Circular 230 from the IRS website.</w:t>
      </w:r>
    </w:p>
    <w:p w:rsidR="00157240" w:rsidRDefault="00E55137" w:rsidP="00E55137">
      <w:pPr>
        <w:ind w:left="720"/>
      </w:pPr>
      <w:r>
        <w:t>A.  All individuals who, for compensation, prepare a tax return, provide tax advice, or practice before the IRS are subject to the provisions of Circular 230.  It is important to note that Circular 230 covers work and activities which are paid (compensated).</w:t>
      </w:r>
    </w:p>
    <w:p w:rsidR="00E55137" w:rsidRDefault="00E55137" w:rsidP="00E55137">
      <w:pPr>
        <w:ind w:left="720"/>
      </w:pPr>
    </w:p>
    <w:p w:rsidR="00E55137" w:rsidRDefault="00E55137" w:rsidP="00E55137">
      <w:pPr>
        <w:ind w:left="720"/>
      </w:pPr>
      <w:r>
        <w:t>B.  Failure to comply with Circular 230 will subject the individual to possible suspension or disbarment, public censure, fines, or civil or criminal prosecution.</w:t>
      </w:r>
    </w:p>
    <w:p w:rsidR="00E55137" w:rsidRDefault="00E55137" w:rsidP="00E55137">
      <w:pPr>
        <w:ind w:left="720"/>
      </w:pPr>
    </w:p>
    <w:p w:rsidR="00E55137" w:rsidRDefault="00E55137" w:rsidP="00E55137">
      <w:pPr>
        <w:ind w:left="720"/>
      </w:pPr>
      <w:r>
        <w:t>C.  Paid tax preparers must register with the IRS and obtain a preparer tax identification number (PTIN).  The PTIN must be renewed annually.</w:t>
      </w:r>
    </w:p>
    <w:p w:rsidR="00E55137" w:rsidRDefault="00E55137" w:rsidP="00E55137">
      <w:pPr>
        <w:ind w:left="720"/>
      </w:pPr>
    </w:p>
    <w:p w:rsidR="00E55137" w:rsidRDefault="00E55137" w:rsidP="00E55137">
      <w:pPr>
        <w:ind w:left="720"/>
      </w:pPr>
      <w:r>
        <w:t>D.  Continuing professional education is required annually.  Some professionals (CPA’s, attorneys) obtain their continuing education as part of their licensure process.  Enrolled agents must obtain at least 72 hours per year and others must receive at least 15 hours annually.  Ethics and professional conduct must be part of the continuing education.</w:t>
      </w:r>
    </w:p>
    <w:p w:rsidR="00E55137" w:rsidRDefault="00E55137" w:rsidP="00E55137">
      <w:pPr>
        <w:ind w:left="720"/>
      </w:pPr>
    </w:p>
    <w:p w:rsidR="00E55137" w:rsidRDefault="00E55137" w:rsidP="00E55137">
      <w:pPr>
        <w:ind w:left="720"/>
      </w:pPr>
      <w:r>
        <w:t>E.  Circular 230 sets forth numerous actions which paid preparers must, or must not, do.  A summary of these actions is provided in the Appendix.</w:t>
      </w:r>
    </w:p>
    <w:p w:rsidR="00E55137" w:rsidRDefault="00E55137"/>
    <w:p w:rsidR="00E55137" w:rsidRDefault="00E55137"/>
    <w:p w:rsidR="00E55137" w:rsidRDefault="00E55137"/>
    <w:sectPr w:rsidR="00E55137">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AFB" w:rsidRDefault="00DF1AFB">
      <w:r>
        <w:separator/>
      </w:r>
    </w:p>
  </w:endnote>
  <w:endnote w:type="continuationSeparator" w:id="0">
    <w:p w:rsidR="00DF1AFB" w:rsidRDefault="00DF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C92" w:rsidRDefault="00B02C92" w:rsidP="00B02C92">
    <w:pPr>
      <w:pStyle w:val="Footer"/>
      <w:rPr>
        <w:sz w:val="16"/>
        <w:szCs w:val="16"/>
      </w:rPr>
    </w:pPr>
    <w:r>
      <w:rPr>
        <w:sz w:val="16"/>
        <w:szCs w:val="16"/>
      </w:rPr>
      <w:t xml:space="preserve">© 2017 by McGraw-Hill Education.  This is proprietary material solely for authorized instructor use. Not authorized for sale or distribution in any manner.  This document may not be copied, scanned, duplicated, forwarded, distributed, or posted on a website, in whole or part.  </w:t>
    </w:r>
  </w:p>
  <w:p w:rsidR="00FC0631" w:rsidRDefault="00FC0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AFB" w:rsidRDefault="00DF1AFB">
      <w:r>
        <w:separator/>
      </w:r>
    </w:p>
  </w:footnote>
  <w:footnote w:type="continuationSeparator" w:id="0">
    <w:p w:rsidR="00DF1AFB" w:rsidRDefault="00DF1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346525"/>
      <w:docPartObj>
        <w:docPartGallery w:val="Page Numbers (Top of Page)"/>
        <w:docPartUnique/>
      </w:docPartObj>
    </w:sdtPr>
    <w:sdtEndPr>
      <w:rPr>
        <w:noProof/>
      </w:rPr>
    </w:sdtEndPr>
    <w:sdtContent>
      <w:p w:rsidR="00A23CA9" w:rsidRDefault="00A23CA9">
        <w:pPr>
          <w:pStyle w:val="Header"/>
          <w:jc w:val="right"/>
        </w:pPr>
        <w:r>
          <w:fldChar w:fldCharType="begin"/>
        </w:r>
        <w:r>
          <w:instrText xml:space="preserve"> PAGE   \* MERGEFORMAT </w:instrText>
        </w:r>
        <w:r>
          <w:fldChar w:fldCharType="separate"/>
        </w:r>
        <w:r w:rsidR="00954210">
          <w:rPr>
            <w:noProof/>
          </w:rPr>
          <w:t>1</w:t>
        </w:r>
        <w:r>
          <w:rPr>
            <w:noProof/>
          </w:rPr>
          <w:fldChar w:fldCharType="end"/>
        </w:r>
      </w:p>
    </w:sdtContent>
  </w:sdt>
  <w:p w:rsidR="00A23CA9" w:rsidRDefault="00A23C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178E"/>
    <w:multiLevelType w:val="hybridMultilevel"/>
    <w:tmpl w:val="CD605BF4"/>
    <w:lvl w:ilvl="0" w:tplc="F976D240">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5052228"/>
    <w:multiLevelType w:val="hybridMultilevel"/>
    <w:tmpl w:val="35DA3BFC"/>
    <w:lvl w:ilvl="0" w:tplc="F976D240">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90B15FA"/>
    <w:multiLevelType w:val="hybridMultilevel"/>
    <w:tmpl w:val="B3D819A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CC"/>
    <w:rsid w:val="00005B5B"/>
    <w:rsid w:val="000207D6"/>
    <w:rsid w:val="000355E3"/>
    <w:rsid w:val="0004329B"/>
    <w:rsid w:val="0005089C"/>
    <w:rsid w:val="0005715C"/>
    <w:rsid w:val="000A4746"/>
    <w:rsid w:val="000E3174"/>
    <w:rsid w:val="00157240"/>
    <w:rsid w:val="00173197"/>
    <w:rsid w:val="00184634"/>
    <w:rsid w:val="001B032E"/>
    <w:rsid w:val="00215332"/>
    <w:rsid w:val="00230D6A"/>
    <w:rsid w:val="00234C2B"/>
    <w:rsid w:val="002B718C"/>
    <w:rsid w:val="002F65A6"/>
    <w:rsid w:val="00301E43"/>
    <w:rsid w:val="00307CBB"/>
    <w:rsid w:val="003433AE"/>
    <w:rsid w:val="00353AAF"/>
    <w:rsid w:val="003614A9"/>
    <w:rsid w:val="003678E6"/>
    <w:rsid w:val="003E23C8"/>
    <w:rsid w:val="003F3ECC"/>
    <w:rsid w:val="00476FB6"/>
    <w:rsid w:val="004811FA"/>
    <w:rsid w:val="00493734"/>
    <w:rsid w:val="004E5E9A"/>
    <w:rsid w:val="0056344F"/>
    <w:rsid w:val="00567B87"/>
    <w:rsid w:val="005B0591"/>
    <w:rsid w:val="005E5879"/>
    <w:rsid w:val="006762AA"/>
    <w:rsid w:val="006D19DC"/>
    <w:rsid w:val="006E50CD"/>
    <w:rsid w:val="00767154"/>
    <w:rsid w:val="007C2923"/>
    <w:rsid w:val="008179A6"/>
    <w:rsid w:val="00823065"/>
    <w:rsid w:val="00833575"/>
    <w:rsid w:val="00853166"/>
    <w:rsid w:val="00856F1C"/>
    <w:rsid w:val="00954210"/>
    <w:rsid w:val="009C5D27"/>
    <w:rsid w:val="009E3E28"/>
    <w:rsid w:val="00A128A2"/>
    <w:rsid w:val="00A23CA9"/>
    <w:rsid w:val="00A4749D"/>
    <w:rsid w:val="00A5668D"/>
    <w:rsid w:val="00A75B80"/>
    <w:rsid w:val="00A9499B"/>
    <w:rsid w:val="00B01DED"/>
    <w:rsid w:val="00B02C92"/>
    <w:rsid w:val="00B02FD0"/>
    <w:rsid w:val="00B54F2C"/>
    <w:rsid w:val="00BA25FF"/>
    <w:rsid w:val="00BC10D2"/>
    <w:rsid w:val="00BF56B6"/>
    <w:rsid w:val="00C21429"/>
    <w:rsid w:val="00C6238F"/>
    <w:rsid w:val="00D74D71"/>
    <w:rsid w:val="00D93987"/>
    <w:rsid w:val="00DA4927"/>
    <w:rsid w:val="00DA68DB"/>
    <w:rsid w:val="00DF1AFB"/>
    <w:rsid w:val="00DF3190"/>
    <w:rsid w:val="00E20078"/>
    <w:rsid w:val="00E501C6"/>
    <w:rsid w:val="00E55137"/>
    <w:rsid w:val="00E70CC0"/>
    <w:rsid w:val="00EA09F0"/>
    <w:rsid w:val="00EC1E72"/>
    <w:rsid w:val="00F04907"/>
    <w:rsid w:val="00F0664D"/>
    <w:rsid w:val="00F34C62"/>
    <w:rsid w:val="00F66FC6"/>
    <w:rsid w:val="00F9300C"/>
    <w:rsid w:val="00FA066F"/>
    <w:rsid w:val="00FC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7240"/>
    <w:pPr>
      <w:tabs>
        <w:tab w:val="center" w:pos="4320"/>
        <w:tab w:val="right" w:pos="8640"/>
      </w:tabs>
    </w:pPr>
  </w:style>
  <w:style w:type="paragraph" w:styleId="Footer">
    <w:name w:val="footer"/>
    <w:basedOn w:val="Normal"/>
    <w:link w:val="FooterChar"/>
    <w:rsid w:val="00157240"/>
    <w:pPr>
      <w:tabs>
        <w:tab w:val="center" w:pos="4320"/>
        <w:tab w:val="right" w:pos="8640"/>
      </w:tabs>
    </w:pPr>
  </w:style>
  <w:style w:type="character" w:styleId="CommentReference">
    <w:name w:val="annotation reference"/>
    <w:rsid w:val="0005715C"/>
    <w:rPr>
      <w:sz w:val="16"/>
      <w:szCs w:val="16"/>
    </w:rPr>
  </w:style>
  <w:style w:type="paragraph" w:styleId="CommentText">
    <w:name w:val="annotation text"/>
    <w:basedOn w:val="Normal"/>
    <w:link w:val="CommentTextChar"/>
    <w:rsid w:val="0005715C"/>
    <w:rPr>
      <w:sz w:val="20"/>
      <w:szCs w:val="20"/>
    </w:rPr>
  </w:style>
  <w:style w:type="character" w:customStyle="1" w:styleId="CommentTextChar">
    <w:name w:val="Comment Text Char"/>
    <w:basedOn w:val="DefaultParagraphFont"/>
    <w:link w:val="CommentText"/>
    <w:rsid w:val="0005715C"/>
  </w:style>
  <w:style w:type="paragraph" w:styleId="CommentSubject">
    <w:name w:val="annotation subject"/>
    <w:basedOn w:val="CommentText"/>
    <w:next w:val="CommentText"/>
    <w:link w:val="CommentSubjectChar"/>
    <w:rsid w:val="0005715C"/>
    <w:rPr>
      <w:b/>
      <w:bCs/>
    </w:rPr>
  </w:style>
  <w:style w:type="character" w:customStyle="1" w:styleId="CommentSubjectChar">
    <w:name w:val="Comment Subject Char"/>
    <w:link w:val="CommentSubject"/>
    <w:rsid w:val="0005715C"/>
    <w:rPr>
      <w:b/>
      <w:bCs/>
    </w:rPr>
  </w:style>
  <w:style w:type="paragraph" w:styleId="BalloonText">
    <w:name w:val="Balloon Text"/>
    <w:basedOn w:val="Normal"/>
    <w:link w:val="BalloonTextChar"/>
    <w:rsid w:val="0005715C"/>
    <w:rPr>
      <w:rFonts w:ascii="Tahoma" w:hAnsi="Tahoma" w:cs="Tahoma"/>
      <w:sz w:val="16"/>
      <w:szCs w:val="16"/>
    </w:rPr>
  </w:style>
  <w:style w:type="character" w:customStyle="1" w:styleId="BalloonTextChar">
    <w:name w:val="Balloon Text Char"/>
    <w:link w:val="BalloonText"/>
    <w:rsid w:val="0005715C"/>
    <w:rPr>
      <w:rFonts w:ascii="Tahoma" w:hAnsi="Tahoma" w:cs="Tahoma"/>
      <w:sz w:val="16"/>
      <w:szCs w:val="16"/>
    </w:rPr>
  </w:style>
  <w:style w:type="character" w:customStyle="1" w:styleId="FooterChar">
    <w:name w:val="Footer Char"/>
    <w:link w:val="Footer"/>
    <w:rsid w:val="001B032E"/>
    <w:rPr>
      <w:sz w:val="24"/>
      <w:szCs w:val="24"/>
    </w:rPr>
  </w:style>
  <w:style w:type="character" w:customStyle="1" w:styleId="HeaderChar">
    <w:name w:val="Header Char"/>
    <w:basedOn w:val="DefaultParagraphFont"/>
    <w:link w:val="Header"/>
    <w:uiPriority w:val="99"/>
    <w:rsid w:val="00A23C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7240"/>
    <w:pPr>
      <w:tabs>
        <w:tab w:val="center" w:pos="4320"/>
        <w:tab w:val="right" w:pos="8640"/>
      </w:tabs>
    </w:pPr>
  </w:style>
  <w:style w:type="paragraph" w:styleId="Footer">
    <w:name w:val="footer"/>
    <w:basedOn w:val="Normal"/>
    <w:link w:val="FooterChar"/>
    <w:rsid w:val="00157240"/>
    <w:pPr>
      <w:tabs>
        <w:tab w:val="center" w:pos="4320"/>
        <w:tab w:val="right" w:pos="8640"/>
      </w:tabs>
    </w:pPr>
  </w:style>
  <w:style w:type="character" w:styleId="CommentReference">
    <w:name w:val="annotation reference"/>
    <w:rsid w:val="0005715C"/>
    <w:rPr>
      <w:sz w:val="16"/>
      <w:szCs w:val="16"/>
    </w:rPr>
  </w:style>
  <w:style w:type="paragraph" w:styleId="CommentText">
    <w:name w:val="annotation text"/>
    <w:basedOn w:val="Normal"/>
    <w:link w:val="CommentTextChar"/>
    <w:rsid w:val="0005715C"/>
    <w:rPr>
      <w:sz w:val="20"/>
      <w:szCs w:val="20"/>
    </w:rPr>
  </w:style>
  <w:style w:type="character" w:customStyle="1" w:styleId="CommentTextChar">
    <w:name w:val="Comment Text Char"/>
    <w:basedOn w:val="DefaultParagraphFont"/>
    <w:link w:val="CommentText"/>
    <w:rsid w:val="0005715C"/>
  </w:style>
  <w:style w:type="paragraph" w:styleId="CommentSubject">
    <w:name w:val="annotation subject"/>
    <w:basedOn w:val="CommentText"/>
    <w:next w:val="CommentText"/>
    <w:link w:val="CommentSubjectChar"/>
    <w:rsid w:val="0005715C"/>
    <w:rPr>
      <w:b/>
      <w:bCs/>
    </w:rPr>
  </w:style>
  <w:style w:type="character" w:customStyle="1" w:styleId="CommentSubjectChar">
    <w:name w:val="Comment Subject Char"/>
    <w:link w:val="CommentSubject"/>
    <w:rsid w:val="0005715C"/>
    <w:rPr>
      <w:b/>
      <w:bCs/>
    </w:rPr>
  </w:style>
  <w:style w:type="paragraph" w:styleId="BalloonText">
    <w:name w:val="Balloon Text"/>
    <w:basedOn w:val="Normal"/>
    <w:link w:val="BalloonTextChar"/>
    <w:rsid w:val="0005715C"/>
    <w:rPr>
      <w:rFonts w:ascii="Tahoma" w:hAnsi="Tahoma" w:cs="Tahoma"/>
      <w:sz w:val="16"/>
      <w:szCs w:val="16"/>
    </w:rPr>
  </w:style>
  <w:style w:type="character" w:customStyle="1" w:styleId="BalloonTextChar">
    <w:name w:val="Balloon Text Char"/>
    <w:link w:val="BalloonText"/>
    <w:rsid w:val="0005715C"/>
    <w:rPr>
      <w:rFonts w:ascii="Tahoma" w:hAnsi="Tahoma" w:cs="Tahoma"/>
      <w:sz w:val="16"/>
      <w:szCs w:val="16"/>
    </w:rPr>
  </w:style>
  <w:style w:type="character" w:customStyle="1" w:styleId="FooterChar">
    <w:name w:val="Footer Char"/>
    <w:link w:val="Footer"/>
    <w:rsid w:val="001B032E"/>
    <w:rPr>
      <w:sz w:val="24"/>
      <w:szCs w:val="24"/>
    </w:rPr>
  </w:style>
  <w:style w:type="character" w:customStyle="1" w:styleId="HeaderChar">
    <w:name w:val="Header Char"/>
    <w:basedOn w:val="DefaultParagraphFont"/>
    <w:link w:val="Header"/>
    <w:uiPriority w:val="99"/>
    <w:rsid w:val="00A23C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Chapter 1</vt:lpstr>
    </vt:vector>
  </TitlesOfParts>
  <Company>East Carolina University</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niswanderf</dc:creator>
  <cp:lastModifiedBy>Szymanski, Jaroslaw</cp:lastModifiedBy>
  <cp:revision>6</cp:revision>
  <dcterms:created xsi:type="dcterms:W3CDTF">2016-11-29T20:11:00Z</dcterms:created>
  <dcterms:modified xsi:type="dcterms:W3CDTF">2016-11-29T20:23:00Z</dcterms:modified>
</cp:coreProperties>
</file>