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D1" w:rsidRDefault="005249D1">
      <w:pPr>
        <w:pStyle w:val="chapternumber"/>
      </w:pPr>
      <w:bookmarkStart w:id="0" w:name="_GoBack"/>
      <w:bookmarkEnd w:id="0"/>
      <w:r>
        <w:t>cHAPTER 1</w:t>
      </w:r>
    </w:p>
    <w:p w:rsidR="005249D1" w:rsidRDefault="005249D1">
      <w:pPr>
        <w:pStyle w:val="chaptertitle"/>
      </w:pPr>
      <w:r>
        <w:tab/>
        <w:t>Accounting in Business</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330"/>
        <w:gridCol w:w="1134"/>
        <w:gridCol w:w="1206"/>
        <w:gridCol w:w="1242"/>
        <w:gridCol w:w="1278"/>
        <w:gridCol w:w="1170"/>
      </w:tblGrid>
      <w:tr w:rsidR="005249D1">
        <w:tc>
          <w:tcPr>
            <w:tcW w:w="9360" w:type="dxa"/>
            <w:gridSpan w:val="6"/>
          </w:tcPr>
          <w:p w:rsidR="005249D1" w:rsidRDefault="005249D1">
            <w:pPr>
              <w:pStyle w:val="tableheadscenter"/>
              <w:rPr>
                <w:u w:val="single"/>
              </w:rPr>
            </w:pPr>
          </w:p>
          <w:p w:rsidR="005249D1" w:rsidRDefault="005249D1">
            <w:pPr>
              <w:pStyle w:val="tableheadscenter"/>
              <w:rPr>
                <w:u w:val="single"/>
              </w:rPr>
            </w:pPr>
            <w:r>
              <w:rPr>
                <w:u w:val="single"/>
              </w:rPr>
              <w:t>Related Assignment Materials</w:t>
            </w:r>
          </w:p>
          <w:p w:rsidR="005249D1" w:rsidRDefault="005249D1">
            <w:pPr>
              <w:pStyle w:val="tableheadscenter"/>
              <w:rPr>
                <w:u w:val="single"/>
              </w:rPr>
            </w:pPr>
          </w:p>
        </w:tc>
      </w:tr>
      <w:tr w:rsidR="005249D1" w:rsidTr="006D7E1A">
        <w:tc>
          <w:tcPr>
            <w:tcW w:w="3330" w:type="dxa"/>
          </w:tcPr>
          <w:p w:rsidR="005249D1" w:rsidRDefault="005249D1">
            <w:pPr>
              <w:pStyle w:val="Italicsheading"/>
              <w:spacing w:before="120"/>
              <w:jc w:val="center"/>
              <w:rPr>
                <w:b/>
              </w:rPr>
            </w:pPr>
            <w:r>
              <w:rPr>
                <w:b/>
              </w:rPr>
              <w:br/>
              <w:t>Student Learning Objectives</w:t>
            </w:r>
          </w:p>
        </w:tc>
        <w:tc>
          <w:tcPr>
            <w:tcW w:w="1134" w:type="dxa"/>
          </w:tcPr>
          <w:p w:rsidR="005249D1" w:rsidRDefault="005249D1">
            <w:pPr>
              <w:pStyle w:val="Italicsheading"/>
              <w:spacing w:before="120"/>
              <w:jc w:val="center"/>
              <w:rPr>
                <w:b/>
              </w:rPr>
            </w:pPr>
            <w:r>
              <w:rPr>
                <w:b/>
              </w:rPr>
              <w:br/>
              <w:t>Questions</w:t>
            </w:r>
          </w:p>
        </w:tc>
        <w:tc>
          <w:tcPr>
            <w:tcW w:w="1206" w:type="dxa"/>
          </w:tcPr>
          <w:p w:rsidR="005249D1" w:rsidRDefault="005249D1">
            <w:pPr>
              <w:pStyle w:val="Italicsheading"/>
              <w:spacing w:before="120"/>
              <w:jc w:val="center"/>
              <w:rPr>
                <w:b/>
              </w:rPr>
            </w:pPr>
            <w:r>
              <w:rPr>
                <w:b/>
              </w:rPr>
              <w:t>Quick Studies</w:t>
            </w:r>
            <w:r>
              <w:rPr>
                <w:b/>
                <w:szCs w:val="22"/>
              </w:rPr>
              <w:t>*</w:t>
            </w:r>
          </w:p>
        </w:tc>
        <w:tc>
          <w:tcPr>
            <w:tcW w:w="1242" w:type="dxa"/>
          </w:tcPr>
          <w:p w:rsidR="005249D1" w:rsidRDefault="005249D1">
            <w:pPr>
              <w:pStyle w:val="Italicsheading"/>
              <w:spacing w:before="120"/>
              <w:jc w:val="center"/>
              <w:rPr>
                <w:b/>
              </w:rPr>
            </w:pPr>
            <w:r>
              <w:rPr>
                <w:b/>
              </w:rPr>
              <w:br/>
              <w:t>Exercises</w:t>
            </w:r>
            <w:r>
              <w:rPr>
                <w:b/>
                <w:szCs w:val="22"/>
              </w:rPr>
              <w:t>*</w:t>
            </w:r>
          </w:p>
        </w:tc>
        <w:tc>
          <w:tcPr>
            <w:tcW w:w="1278" w:type="dxa"/>
          </w:tcPr>
          <w:p w:rsidR="005249D1" w:rsidRDefault="005249D1" w:rsidP="0013210F">
            <w:pPr>
              <w:pStyle w:val="Italicsheading"/>
              <w:spacing w:before="120"/>
              <w:jc w:val="center"/>
              <w:rPr>
                <w:b/>
              </w:rPr>
            </w:pPr>
            <w:r>
              <w:rPr>
                <w:b/>
              </w:rPr>
              <w:br/>
              <w:t>Problems</w:t>
            </w:r>
            <w:r w:rsidR="00533731">
              <w:rPr>
                <w:b/>
              </w:rPr>
              <w:t>*</w:t>
            </w:r>
            <w:r w:rsidR="00533731">
              <w:rPr>
                <w:b/>
              </w:rPr>
              <w:br/>
            </w:r>
          </w:p>
        </w:tc>
        <w:tc>
          <w:tcPr>
            <w:tcW w:w="1170" w:type="dxa"/>
          </w:tcPr>
          <w:p w:rsidR="005249D1" w:rsidRDefault="005249D1">
            <w:pPr>
              <w:pStyle w:val="Italicsheading"/>
              <w:spacing w:before="120"/>
              <w:jc w:val="center"/>
              <w:rPr>
                <w:b/>
              </w:rPr>
            </w:pPr>
            <w:r>
              <w:rPr>
                <w:b/>
              </w:rPr>
              <w:t>Beyond the Numbers</w:t>
            </w:r>
          </w:p>
        </w:tc>
      </w:tr>
      <w:tr w:rsidR="005249D1">
        <w:trPr>
          <w:cantSplit/>
        </w:trPr>
        <w:tc>
          <w:tcPr>
            <w:tcW w:w="9360" w:type="dxa"/>
            <w:gridSpan w:val="6"/>
          </w:tcPr>
          <w:p w:rsidR="005249D1" w:rsidRDefault="005249D1">
            <w:pPr>
              <w:pStyle w:val="TableBody"/>
              <w:rPr>
                <w:b/>
              </w:rPr>
            </w:pPr>
            <w:r>
              <w:rPr>
                <w:b/>
              </w:rPr>
              <w:t>Conceptual objectives</w:t>
            </w:r>
          </w:p>
        </w:tc>
      </w:tr>
      <w:tr w:rsidR="005249D1" w:rsidTr="006D7E1A">
        <w:tc>
          <w:tcPr>
            <w:tcW w:w="3330" w:type="dxa"/>
          </w:tcPr>
          <w:p w:rsidR="005249D1" w:rsidRDefault="005249D1" w:rsidP="00195AC9">
            <w:pPr>
              <w:pStyle w:val="TableBody"/>
              <w:ind w:left="360" w:hanging="360"/>
            </w:pPr>
            <w:r>
              <w:t xml:space="preserve">C1. Explain the purpose and importance of accounting </w:t>
            </w:r>
          </w:p>
        </w:tc>
        <w:tc>
          <w:tcPr>
            <w:tcW w:w="1134" w:type="dxa"/>
          </w:tcPr>
          <w:p w:rsidR="005249D1" w:rsidRDefault="00686971">
            <w:pPr>
              <w:pStyle w:val="TableBody"/>
            </w:pPr>
            <w:r>
              <w:t xml:space="preserve"> 1, 5</w:t>
            </w:r>
            <w:r w:rsidR="005249D1">
              <w:t xml:space="preserve">, </w:t>
            </w:r>
          </w:p>
        </w:tc>
        <w:tc>
          <w:tcPr>
            <w:tcW w:w="1206" w:type="dxa"/>
          </w:tcPr>
          <w:p w:rsidR="005249D1" w:rsidRDefault="00736896" w:rsidP="00736896">
            <w:pPr>
              <w:pStyle w:val="TableBody"/>
            </w:pPr>
            <w:r>
              <w:t xml:space="preserve"> 1-1</w:t>
            </w:r>
          </w:p>
        </w:tc>
        <w:tc>
          <w:tcPr>
            <w:tcW w:w="1242" w:type="dxa"/>
          </w:tcPr>
          <w:p w:rsidR="005249D1" w:rsidRDefault="00C75A4C" w:rsidP="00C75A4C">
            <w:pPr>
              <w:pStyle w:val="TableBody"/>
            </w:pPr>
            <w:r>
              <w:t xml:space="preserve"> 1-1, 1-4, 1-6</w:t>
            </w:r>
          </w:p>
        </w:tc>
        <w:tc>
          <w:tcPr>
            <w:tcW w:w="1278" w:type="dxa"/>
          </w:tcPr>
          <w:p w:rsidR="005249D1" w:rsidRDefault="005249D1">
            <w:pPr>
              <w:pStyle w:val="TableBody"/>
            </w:pPr>
          </w:p>
        </w:tc>
        <w:tc>
          <w:tcPr>
            <w:tcW w:w="1170" w:type="dxa"/>
          </w:tcPr>
          <w:p w:rsidR="005249D1" w:rsidRDefault="006D7E1A">
            <w:pPr>
              <w:pStyle w:val="TableBody"/>
            </w:pPr>
            <w:r>
              <w:t xml:space="preserve"> 1-6</w:t>
            </w:r>
          </w:p>
        </w:tc>
      </w:tr>
      <w:tr w:rsidR="005249D1" w:rsidTr="006D7E1A">
        <w:tc>
          <w:tcPr>
            <w:tcW w:w="3330" w:type="dxa"/>
          </w:tcPr>
          <w:p w:rsidR="005249D1" w:rsidRDefault="00195AC9">
            <w:pPr>
              <w:pStyle w:val="TableBody"/>
              <w:ind w:left="360" w:hanging="360"/>
            </w:pPr>
            <w:r>
              <w:t xml:space="preserve">C2. Identify users and uses of, and opportunities in </w:t>
            </w:r>
            <w:r w:rsidR="005249D1">
              <w:t>accounting.</w:t>
            </w:r>
          </w:p>
        </w:tc>
        <w:tc>
          <w:tcPr>
            <w:tcW w:w="1134" w:type="dxa"/>
          </w:tcPr>
          <w:p w:rsidR="005249D1" w:rsidRDefault="000243F6" w:rsidP="00736896">
            <w:pPr>
              <w:pStyle w:val="TableBody"/>
            </w:pPr>
            <w:r>
              <w:t xml:space="preserve"> </w:t>
            </w:r>
            <w:r w:rsidR="00686971">
              <w:t>2,</w:t>
            </w:r>
            <w:r w:rsidR="00D6292E">
              <w:t xml:space="preserve"> 3,</w:t>
            </w:r>
            <w:r w:rsidR="00686971">
              <w:t xml:space="preserve"> 4, 6</w:t>
            </w:r>
            <w:r w:rsidR="005249D1">
              <w:t>,</w:t>
            </w:r>
            <w:r w:rsidR="00736896">
              <w:t xml:space="preserve"> 7,</w:t>
            </w:r>
            <w:r w:rsidR="00736896">
              <w:br/>
              <w:t xml:space="preserve"> </w:t>
            </w:r>
            <w:r w:rsidR="00CA6EB0">
              <w:t xml:space="preserve">8, 9, </w:t>
            </w:r>
            <w:r w:rsidR="00686971">
              <w:t>10</w:t>
            </w:r>
            <w:r w:rsidR="00CA6EB0">
              <w:t>, 11,</w:t>
            </w:r>
            <w:r w:rsidR="00736896">
              <w:br/>
              <w:t xml:space="preserve"> </w:t>
            </w:r>
            <w:r w:rsidR="00CA6EB0">
              <w:t>12,</w:t>
            </w:r>
            <w:r w:rsidR="005249D1">
              <w:t xml:space="preserve"> 23  </w:t>
            </w:r>
          </w:p>
        </w:tc>
        <w:tc>
          <w:tcPr>
            <w:tcW w:w="1206" w:type="dxa"/>
          </w:tcPr>
          <w:p w:rsidR="005249D1" w:rsidRDefault="00736896">
            <w:pPr>
              <w:pStyle w:val="TableBody"/>
            </w:pPr>
            <w:r>
              <w:t xml:space="preserve"> 1-2</w:t>
            </w:r>
          </w:p>
        </w:tc>
        <w:tc>
          <w:tcPr>
            <w:tcW w:w="1242" w:type="dxa"/>
          </w:tcPr>
          <w:p w:rsidR="005249D1" w:rsidRDefault="00C75A4C" w:rsidP="00C75A4C">
            <w:pPr>
              <w:pStyle w:val="TableBody"/>
            </w:pPr>
            <w:r>
              <w:t xml:space="preserve"> 1-2, 1-3, 1-4</w:t>
            </w:r>
          </w:p>
        </w:tc>
        <w:tc>
          <w:tcPr>
            <w:tcW w:w="1278" w:type="dxa"/>
          </w:tcPr>
          <w:p w:rsidR="005249D1" w:rsidRDefault="005249D1">
            <w:pPr>
              <w:pStyle w:val="TableBody"/>
            </w:pPr>
          </w:p>
        </w:tc>
        <w:tc>
          <w:tcPr>
            <w:tcW w:w="1170" w:type="dxa"/>
          </w:tcPr>
          <w:p w:rsidR="005249D1" w:rsidRDefault="006D7E1A">
            <w:pPr>
              <w:pStyle w:val="TableBody"/>
            </w:pPr>
            <w:r>
              <w:t xml:space="preserve"> 1-4, 1-8</w:t>
            </w:r>
          </w:p>
        </w:tc>
      </w:tr>
      <w:tr w:rsidR="005249D1" w:rsidTr="006D7E1A">
        <w:tc>
          <w:tcPr>
            <w:tcW w:w="3330" w:type="dxa"/>
          </w:tcPr>
          <w:p w:rsidR="005249D1" w:rsidRDefault="00195AC9">
            <w:pPr>
              <w:pStyle w:val="TableBody"/>
              <w:ind w:left="360" w:hanging="360"/>
            </w:pPr>
            <w:r>
              <w:t>C3</w:t>
            </w:r>
            <w:r w:rsidR="005249D1">
              <w:t>. Explain why ethics are crucial to accounting.</w:t>
            </w:r>
          </w:p>
        </w:tc>
        <w:tc>
          <w:tcPr>
            <w:tcW w:w="1134" w:type="dxa"/>
          </w:tcPr>
          <w:p w:rsidR="005249D1" w:rsidRDefault="00686971">
            <w:pPr>
              <w:pStyle w:val="TableBody"/>
            </w:pPr>
            <w:r>
              <w:t xml:space="preserve"> 11, 14</w:t>
            </w:r>
          </w:p>
        </w:tc>
        <w:tc>
          <w:tcPr>
            <w:tcW w:w="1206" w:type="dxa"/>
          </w:tcPr>
          <w:p w:rsidR="005249D1" w:rsidRDefault="00736896">
            <w:pPr>
              <w:pStyle w:val="TableBody"/>
            </w:pPr>
            <w:r>
              <w:t xml:space="preserve"> 1-3</w:t>
            </w:r>
          </w:p>
        </w:tc>
        <w:tc>
          <w:tcPr>
            <w:tcW w:w="1242" w:type="dxa"/>
          </w:tcPr>
          <w:p w:rsidR="005249D1" w:rsidRDefault="00C75A4C" w:rsidP="00C75A4C">
            <w:pPr>
              <w:pStyle w:val="TableBody"/>
            </w:pPr>
            <w:r>
              <w:t xml:space="preserve"> 1-4, 1-5</w:t>
            </w:r>
          </w:p>
        </w:tc>
        <w:tc>
          <w:tcPr>
            <w:tcW w:w="1278" w:type="dxa"/>
          </w:tcPr>
          <w:p w:rsidR="005249D1" w:rsidRDefault="005249D1">
            <w:pPr>
              <w:pStyle w:val="TableBody"/>
            </w:pPr>
          </w:p>
        </w:tc>
        <w:tc>
          <w:tcPr>
            <w:tcW w:w="1170" w:type="dxa"/>
          </w:tcPr>
          <w:p w:rsidR="005249D1" w:rsidRDefault="006D7E1A">
            <w:pPr>
              <w:pStyle w:val="TableBody"/>
            </w:pPr>
            <w:r>
              <w:t xml:space="preserve"> 1-3</w:t>
            </w:r>
          </w:p>
        </w:tc>
      </w:tr>
      <w:tr w:rsidR="005249D1" w:rsidTr="006D7E1A">
        <w:tc>
          <w:tcPr>
            <w:tcW w:w="3330" w:type="dxa"/>
          </w:tcPr>
          <w:p w:rsidR="005249D1" w:rsidRDefault="00195AC9">
            <w:pPr>
              <w:pStyle w:val="TableBody"/>
              <w:ind w:left="360" w:hanging="360"/>
            </w:pPr>
            <w:r>
              <w:t>C4</w:t>
            </w:r>
            <w:r w:rsidR="005249D1">
              <w:t>. Explain generally accepted accounting principles</w:t>
            </w:r>
            <w:r w:rsidR="00BE252E">
              <w:t xml:space="preserve"> </w:t>
            </w:r>
            <w:r w:rsidR="005249D1">
              <w:t xml:space="preserve">and </w:t>
            </w:r>
            <w:r w:rsidR="000243F6">
              <w:t xml:space="preserve">define and </w:t>
            </w:r>
            <w:r w:rsidR="005249D1">
              <w:t>apply sever</w:t>
            </w:r>
            <w:r w:rsidR="000243F6">
              <w:t>al accounting principles.</w:t>
            </w:r>
          </w:p>
        </w:tc>
        <w:tc>
          <w:tcPr>
            <w:tcW w:w="1134" w:type="dxa"/>
          </w:tcPr>
          <w:p w:rsidR="005249D1" w:rsidRDefault="00686971">
            <w:pPr>
              <w:pStyle w:val="TableBody"/>
            </w:pPr>
            <w:r>
              <w:t xml:space="preserve"> 13, 14,</w:t>
            </w:r>
            <w:r w:rsidR="005249D1">
              <w:t xml:space="preserve"> </w:t>
            </w:r>
            <w:r>
              <w:t>15,</w:t>
            </w:r>
            <w:r>
              <w:br/>
              <w:t xml:space="preserve"> </w:t>
            </w:r>
            <w:r w:rsidR="00D6292E">
              <w:t>19</w:t>
            </w:r>
          </w:p>
        </w:tc>
        <w:tc>
          <w:tcPr>
            <w:tcW w:w="1206" w:type="dxa"/>
          </w:tcPr>
          <w:p w:rsidR="005249D1" w:rsidRDefault="00736896">
            <w:pPr>
              <w:pStyle w:val="TableBody"/>
            </w:pPr>
            <w:r>
              <w:t xml:space="preserve"> 1-4, 1-5, </w:t>
            </w:r>
          </w:p>
          <w:p w:rsidR="00736896" w:rsidRDefault="00736896" w:rsidP="00736896">
            <w:pPr>
              <w:pStyle w:val="TableBody"/>
            </w:pPr>
            <w:r>
              <w:t xml:space="preserve"> 1-6, 1-16</w:t>
            </w:r>
          </w:p>
        </w:tc>
        <w:tc>
          <w:tcPr>
            <w:tcW w:w="1242" w:type="dxa"/>
          </w:tcPr>
          <w:p w:rsidR="005249D1" w:rsidRDefault="00C75A4C" w:rsidP="00C75A4C">
            <w:pPr>
              <w:pStyle w:val="TableBody"/>
            </w:pPr>
            <w:r>
              <w:t xml:space="preserve"> 1-6, 1-7</w:t>
            </w:r>
          </w:p>
        </w:tc>
        <w:tc>
          <w:tcPr>
            <w:tcW w:w="1278" w:type="dxa"/>
          </w:tcPr>
          <w:p w:rsidR="005249D1" w:rsidRDefault="006D7E1A">
            <w:pPr>
              <w:pStyle w:val="TableBody"/>
            </w:pPr>
            <w:r>
              <w:t xml:space="preserve"> 1-7, 1-8, 1-9</w:t>
            </w:r>
            <w:r w:rsidR="0013210F">
              <w:t>,</w:t>
            </w:r>
            <w:r w:rsidR="0013210F">
              <w:br/>
              <w:t xml:space="preserve"> </w:t>
            </w:r>
            <w:r w:rsidR="00533731">
              <w:t xml:space="preserve">SP </w:t>
            </w:r>
          </w:p>
        </w:tc>
        <w:tc>
          <w:tcPr>
            <w:tcW w:w="1170" w:type="dxa"/>
          </w:tcPr>
          <w:p w:rsidR="005249D1" w:rsidRDefault="006D7E1A">
            <w:pPr>
              <w:pStyle w:val="TableBody"/>
            </w:pPr>
            <w:r>
              <w:t xml:space="preserve"> 1-3</w:t>
            </w:r>
          </w:p>
        </w:tc>
      </w:tr>
      <w:tr w:rsidR="005249D1" w:rsidTr="006D7E1A">
        <w:tc>
          <w:tcPr>
            <w:tcW w:w="3330" w:type="dxa"/>
          </w:tcPr>
          <w:p w:rsidR="005249D1" w:rsidRDefault="00195AC9">
            <w:pPr>
              <w:pStyle w:val="TableBody"/>
              <w:ind w:left="360" w:hanging="360"/>
            </w:pPr>
            <w:r>
              <w:t>C5</w:t>
            </w:r>
            <w:r w:rsidR="005249D1">
              <w:t>.</w:t>
            </w:r>
            <w:r w:rsidR="005249D1">
              <w:rPr>
                <w:szCs w:val="24"/>
                <w:vertAlign w:val="superscript"/>
              </w:rPr>
              <w:t xml:space="preserve"> </w:t>
            </w:r>
            <w:r w:rsidR="005249D1">
              <w:rPr>
                <w:vertAlign w:val="superscript"/>
              </w:rPr>
              <w:t>B</w:t>
            </w:r>
            <w:r w:rsidR="005249D1">
              <w:t xml:space="preserve"> Identify and describe the three major activities in organizations. (Appendix 1B)</w:t>
            </w:r>
          </w:p>
        </w:tc>
        <w:tc>
          <w:tcPr>
            <w:tcW w:w="1134" w:type="dxa"/>
          </w:tcPr>
          <w:p w:rsidR="005249D1" w:rsidRDefault="00686971">
            <w:pPr>
              <w:pStyle w:val="TableBody"/>
            </w:pPr>
            <w:r>
              <w:t xml:space="preserve"> 14, 16</w:t>
            </w:r>
            <w:r w:rsidR="00EB4ACC">
              <w:t>, 30</w:t>
            </w:r>
            <w:r w:rsidR="005249D1">
              <w:t>,</w:t>
            </w:r>
          </w:p>
          <w:p w:rsidR="005249D1" w:rsidRDefault="00EB4ACC">
            <w:pPr>
              <w:pStyle w:val="TableBody"/>
            </w:pPr>
            <w:r>
              <w:t xml:space="preserve"> 31</w:t>
            </w:r>
          </w:p>
        </w:tc>
        <w:tc>
          <w:tcPr>
            <w:tcW w:w="1206" w:type="dxa"/>
          </w:tcPr>
          <w:p w:rsidR="005249D1" w:rsidRDefault="005249D1">
            <w:pPr>
              <w:pStyle w:val="TableBody"/>
            </w:pPr>
          </w:p>
        </w:tc>
        <w:tc>
          <w:tcPr>
            <w:tcW w:w="1242" w:type="dxa"/>
          </w:tcPr>
          <w:p w:rsidR="005249D1" w:rsidRDefault="00C75A4C" w:rsidP="00C75A4C">
            <w:pPr>
              <w:pStyle w:val="TableBody"/>
            </w:pPr>
            <w:r>
              <w:t xml:space="preserve"> 1-21</w:t>
            </w:r>
          </w:p>
        </w:tc>
        <w:tc>
          <w:tcPr>
            <w:tcW w:w="1278" w:type="dxa"/>
          </w:tcPr>
          <w:p w:rsidR="005249D1" w:rsidRDefault="006D7E1A" w:rsidP="006D7E1A">
            <w:pPr>
              <w:pStyle w:val="TableBody"/>
            </w:pPr>
            <w:r>
              <w:t xml:space="preserve"> 1-13, 1-14</w:t>
            </w:r>
          </w:p>
        </w:tc>
        <w:tc>
          <w:tcPr>
            <w:tcW w:w="1170" w:type="dxa"/>
          </w:tcPr>
          <w:p w:rsidR="005249D1" w:rsidRDefault="005249D1">
            <w:pPr>
              <w:pStyle w:val="TableBody"/>
            </w:pPr>
          </w:p>
        </w:tc>
      </w:tr>
      <w:tr w:rsidR="005249D1">
        <w:tc>
          <w:tcPr>
            <w:tcW w:w="9360" w:type="dxa"/>
            <w:gridSpan w:val="6"/>
          </w:tcPr>
          <w:p w:rsidR="005249D1" w:rsidRDefault="005249D1">
            <w:pPr>
              <w:pStyle w:val="TableBody"/>
            </w:pPr>
            <w:r>
              <w:rPr>
                <w:b/>
              </w:rPr>
              <w:t>Analytical objectives:</w:t>
            </w:r>
            <w:r>
              <w:t xml:space="preserve"> </w:t>
            </w:r>
          </w:p>
        </w:tc>
      </w:tr>
      <w:tr w:rsidR="005249D1" w:rsidTr="006D7E1A">
        <w:tc>
          <w:tcPr>
            <w:tcW w:w="3330" w:type="dxa"/>
          </w:tcPr>
          <w:p w:rsidR="005249D1" w:rsidRDefault="005249D1">
            <w:pPr>
              <w:pStyle w:val="TableBody"/>
              <w:ind w:left="360" w:hanging="360"/>
            </w:pPr>
            <w:r>
              <w:t xml:space="preserve">A1. Define and interpret the accounting equation and each of its components. </w:t>
            </w:r>
          </w:p>
        </w:tc>
        <w:tc>
          <w:tcPr>
            <w:tcW w:w="1134" w:type="dxa"/>
          </w:tcPr>
          <w:p w:rsidR="005249D1" w:rsidRDefault="00686971">
            <w:pPr>
              <w:pStyle w:val="TableBody"/>
            </w:pPr>
            <w:r>
              <w:t xml:space="preserve"> 17</w:t>
            </w:r>
            <w:r w:rsidR="00EB4ACC">
              <w:t xml:space="preserve">, </w:t>
            </w:r>
            <w:r w:rsidR="00251A77">
              <w:t xml:space="preserve">20, </w:t>
            </w:r>
            <w:r w:rsidR="008B42C7">
              <w:t>24</w:t>
            </w:r>
          </w:p>
        </w:tc>
        <w:tc>
          <w:tcPr>
            <w:tcW w:w="1206" w:type="dxa"/>
          </w:tcPr>
          <w:p w:rsidR="00C75A4C" w:rsidRDefault="00C75A4C" w:rsidP="00C75A4C">
            <w:pPr>
              <w:pStyle w:val="TableBody"/>
            </w:pPr>
            <w:r>
              <w:t xml:space="preserve"> 1-7, 1-8, </w:t>
            </w:r>
          </w:p>
          <w:p w:rsidR="005249D1" w:rsidRDefault="00C75A4C" w:rsidP="00C75A4C">
            <w:pPr>
              <w:pStyle w:val="TableBody"/>
            </w:pPr>
            <w:r>
              <w:t xml:space="preserve"> 1-9</w:t>
            </w:r>
            <w:r w:rsidR="009A3D75">
              <w:t>, 1-17</w:t>
            </w:r>
          </w:p>
        </w:tc>
        <w:tc>
          <w:tcPr>
            <w:tcW w:w="1242" w:type="dxa"/>
          </w:tcPr>
          <w:p w:rsidR="005249D1" w:rsidRDefault="00C75A4C" w:rsidP="00C75A4C">
            <w:pPr>
              <w:pStyle w:val="TableBody"/>
            </w:pPr>
            <w:r>
              <w:t xml:space="preserve"> 1-8, 1-9</w:t>
            </w:r>
          </w:p>
        </w:tc>
        <w:tc>
          <w:tcPr>
            <w:tcW w:w="1278" w:type="dxa"/>
          </w:tcPr>
          <w:p w:rsidR="006D7E1A" w:rsidRDefault="006D7E1A" w:rsidP="006D7E1A">
            <w:pPr>
              <w:pStyle w:val="TableBody"/>
            </w:pPr>
            <w:r>
              <w:t xml:space="preserve"> 1-1, 1-2, </w:t>
            </w:r>
          </w:p>
          <w:p w:rsidR="005249D1" w:rsidRDefault="006D7E1A" w:rsidP="006D7E1A">
            <w:pPr>
              <w:pStyle w:val="TableBody"/>
            </w:pPr>
            <w:r>
              <w:t xml:space="preserve"> 1-8, 1-10</w:t>
            </w:r>
          </w:p>
        </w:tc>
        <w:tc>
          <w:tcPr>
            <w:tcW w:w="1170" w:type="dxa"/>
          </w:tcPr>
          <w:p w:rsidR="005249D1" w:rsidRDefault="006D7E1A" w:rsidP="006D7E1A">
            <w:pPr>
              <w:pStyle w:val="TableBody"/>
            </w:pPr>
            <w:r>
              <w:t xml:space="preserve"> 1-1, 1-2,</w:t>
            </w:r>
            <w:r>
              <w:br/>
              <w:t xml:space="preserve"> 1-4, 1-7,</w:t>
            </w:r>
            <w:r>
              <w:br/>
              <w:t xml:space="preserve"> 1-9</w:t>
            </w:r>
          </w:p>
        </w:tc>
      </w:tr>
      <w:tr w:rsidR="005249D1" w:rsidTr="006D7E1A">
        <w:tc>
          <w:tcPr>
            <w:tcW w:w="3330" w:type="dxa"/>
          </w:tcPr>
          <w:p w:rsidR="005249D1" w:rsidRDefault="00832850">
            <w:pPr>
              <w:pStyle w:val="TableBody"/>
              <w:ind w:left="360" w:hanging="360"/>
            </w:pPr>
            <w:r>
              <w:t>A2</w:t>
            </w:r>
            <w:r w:rsidR="005249D1">
              <w:t xml:space="preserve">. Compute and interpret return on assets. </w:t>
            </w:r>
          </w:p>
        </w:tc>
        <w:tc>
          <w:tcPr>
            <w:tcW w:w="1134" w:type="dxa"/>
          </w:tcPr>
          <w:p w:rsidR="005249D1" w:rsidRDefault="00EB4ACC">
            <w:pPr>
              <w:pStyle w:val="TableBody"/>
            </w:pPr>
            <w:r>
              <w:t xml:space="preserve"> 28</w:t>
            </w:r>
          </w:p>
        </w:tc>
        <w:tc>
          <w:tcPr>
            <w:tcW w:w="1206" w:type="dxa"/>
          </w:tcPr>
          <w:p w:rsidR="005249D1" w:rsidRDefault="00C75A4C" w:rsidP="003F4C19">
            <w:pPr>
              <w:pStyle w:val="TableBody"/>
            </w:pPr>
            <w:r>
              <w:t xml:space="preserve"> 1-1</w:t>
            </w:r>
            <w:r w:rsidR="009A3D75">
              <w:t>5</w:t>
            </w:r>
          </w:p>
        </w:tc>
        <w:tc>
          <w:tcPr>
            <w:tcW w:w="1242" w:type="dxa"/>
          </w:tcPr>
          <w:p w:rsidR="005249D1" w:rsidRDefault="00C75A4C" w:rsidP="00C75A4C">
            <w:pPr>
              <w:pStyle w:val="TableBody"/>
            </w:pPr>
            <w:r>
              <w:t xml:space="preserve"> </w:t>
            </w:r>
            <w:r w:rsidR="00E62AED">
              <w:t xml:space="preserve">1-14, </w:t>
            </w:r>
            <w:r>
              <w:t>1-18</w:t>
            </w:r>
          </w:p>
        </w:tc>
        <w:tc>
          <w:tcPr>
            <w:tcW w:w="1278" w:type="dxa"/>
          </w:tcPr>
          <w:p w:rsidR="005249D1" w:rsidRDefault="006D7E1A" w:rsidP="006D7E1A">
            <w:pPr>
              <w:pStyle w:val="TableBody"/>
            </w:pPr>
            <w:r>
              <w:t xml:space="preserve"> 1-10, 1-11</w:t>
            </w:r>
          </w:p>
        </w:tc>
        <w:tc>
          <w:tcPr>
            <w:tcW w:w="1170" w:type="dxa"/>
          </w:tcPr>
          <w:p w:rsidR="005249D1" w:rsidRDefault="006D7E1A" w:rsidP="006D7E1A">
            <w:pPr>
              <w:pStyle w:val="TableBody"/>
            </w:pPr>
            <w:r>
              <w:t xml:space="preserve"> 1-1, 1-2,</w:t>
            </w:r>
            <w:r>
              <w:br/>
              <w:t xml:space="preserve"> 1-5, 1-9</w:t>
            </w:r>
          </w:p>
        </w:tc>
      </w:tr>
      <w:tr w:rsidR="005249D1" w:rsidTr="006D7E1A">
        <w:tc>
          <w:tcPr>
            <w:tcW w:w="3330" w:type="dxa"/>
          </w:tcPr>
          <w:p w:rsidR="005249D1" w:rsidRDefault="00832850">
            <w:pPr>
              <w:pStyle w:val="TableBody"/>
              <w:ind w:left="360" w:hanging="360"/>
            </w:pPr>
            <w:r>
              <w:t>A3</w:t>
            </w:r>
            <w:r w:rsidR="005249D1">
              <w:t>.</w:t>
            </w:r>
            <w:r w:rsidR="005249D1">
              <w:rPr>
                <w:szCs w:val="24"/>
                <w:vertAlign w:val="superscript"/>
              </w:rPr>
              <w:t xml:space="preserve"> </w:t>
            </w:r>
            <w:proofErr w:type="gramStart"/>
            <w:r w:rsidR="005249D1">
              <w:rPr>
                <w:vertAlign w:val="superscript"/>
              </w:rPr>
              <w:t>A</w:t>
            </w:r>
            <w:proofErr w:type="gramEnd"/>
            <w:r w:rsidR="005249D1">
              <w:t xml:space="preserve"> Explain the relation between return and risk. (Appendix 1A)</w:t>
            </w:r>
          </w:p>
        </w:tc>
        <w:tc>
          <w:tcPr>
            <w:tcW w:w="1134" w:type="dxa"/>
          </w:tcPr>
          <w:p w:rsidR="005249D1" w:rsidRDefault="00EB4ACC">
            <w:pPr>
              <w:pStyle w:val="TableBody"/>
            </w:pPr>
            <w:r>
              <w:t xml:space="preserve"> 29</w:t>
            </w:r>
          </w:p>
        </w:tc>
        <w:tc>
          <w:tcPr>
            <w:tcW w:w="1206" w:type="dxa"/>
          </w:tcPr>
          <w:p w:rsidR="005249D1" w:rsidRDefault="005249D1">
            <w:pPr>
              <w:pStyle w:val="TableBody"/>
            </w:pPr>
          </w:p>
        </w:tc>
        <w:tc>
          <w:tcPr>
            <w:tcW w:w="1242" w:type="dxa"/>
          </w:tcPr>
          <w:p w:rsidR="005249D1" w:rsidRDefault="005249D1">
            <w:pPr>
              <w:pStyle w:val="TableBody"/>
            </w:pPr>
          </w:p>
        </w:tc>
        <w:tc>
          <w:tcPr>
            <w:tcW w:w="1278" w:type="dxa"/>
          </w:tcPr>
          <w:p w:rsidR="005249D1" w:rsidRDefault="006D7E1A" w:rsidP="006D7E1A">
            <w:pPr>
              <w:pStyle w:val="TableBody"/>
            </w:pPr>
            <w:r>
              <w:t xml:space="preserve"> 1-12</w:t>
            </w:r>
          </w:p>
        </w:tc>
        <w:tc>
          <w:tcPr>
            <w:tcW w:w="1170" w:type="dxa"/>
          </w:tcPr>
          <w:p w:rsidR="005249D1" w:rsidRDefault="006D7E1A" w:rsidP="006D7E1A">
            <w:pPr>
              <w:pStyle w:val="TableBody"/>
            </w:pPr>
            <w:r>
              <w:t xml:space="preserve"> 1-1, 1-2,</w:t>
            </w:r>
            <w:r>
              <w:br/>
              <w:t xml:space="preserve"> 1-9</w:t>
            </w:r>
          </w:p>
        </w:tc>
      </w:tr>
      <w:tr w:rsidR="005249D1">
        <w:tc>
          <w:tcPr>
            <w:tcW w:w="9360" w:type="dxa"/>
            <w:gridSpan w:val="6"/>
          </w:tcPr>
          <w:p w:rsidR="005249D1" w:rsidRDefault="005249D1">
            <w:pPr>
              <w:pStyle w:val="TableBody"/>
            </w:pPr>
            <w:r>
              <w:rPr>
                <w:b/>
              </w:rPr>
              <w:t>Procedural objectives:</w:t>
            </w:r>
            <w:r>
              <w:t xml:space="preserve"> </w:t>
            </w:r>
          </w:p>
        </w:tc>
      </w:tr>
      <w:tr w:rsidR="00195AC9" w:rsidTr="006D7E1A">
        <w:tc>
          <w:tcPr>
            <w:tcW w:w="3330" w:type="dxa"/>
          </w:tcPr>
          <w:p w:rsidR="00195AC9" w:rsidRDefault="00195AC9" w:rsidP="00842BE5">
            <w:pPr>
              <w:pStyle w:val="TableBody"/>
              <w:ind w:left="360" w:hanging="360"/>
            </w:pPr>
            <w:r>
              <w:t>P1. Analyze business transactions using the accounting equation.</w:t>
            </w:r>
          </w:p>
        </w:tc>
        <w:tc>
          <w:tcPr>
            <w:tcW w:w="1134" w:type="dxa"/>
          </w:tcPr>
          <w:p w:rsidR="00195AC9" w:rsidRDefault="00195AC9" w:rsidP="00842BE5">
            <w:pPr>
              <w:pStyle w:val="TableBody"/>
            </w:pPr>
            <w:r>
              <w:t xml:space="preserve"> 18</w:t>
            </w:r>
          </w:p>
        </w:tc>
        <w:tc>
          <w:tcPr>
            <w:tcW w:w="1206" w:type="dxa"/>
          </w:tcPr>
          <w:p w:rsidR="00195AC9" w:rsidRDefault="00C75A4C" w:rsidP="00C75A4C">
            <w:pPr>
              <w:pStyle w:val="TableBody"/>
            </w:pPr>
            <w:r>
              <w:t xml:space="preserve"> 1-10, 1-11</w:t>
            </w:r>
            <w:r>
              <w:br/>
              <w:t xml:space="preserve"> </w:t>
            </w:r>
          </w:p>
        </w:tc>
        <w:tc>
          <w:tcPr>
            <w:tcW w:w="1242" w:type="dxa"/>
          </w:tcPr>
          <w:p w:rsidR="00195AC9" w:rsidRDefault="00C75A4C" w:rsidP="00581AD8">
            <w:pPr>
              <w:pStyle w:val="TableBody"/>
            </w:pPr>
            <w:r>
              <w:t xml:space="preserve"> 1-10, 1-11,</w:t>
            </w:r>
          </w:p>
          <w:p w:rsidR="00C75A4C" w:rsidRDefault="00C75A4C" w:rsidP="00C75A4C">
            <w:pPr>
              <w:pStyle w:val="TableBody"/>
            </w:pPr>
            <w:r>
              <w:t xml:space="preserve"> 1-12, 1-13</w:t>
            </w:r>
          </w:p>
        </w:tc>
        <w:tc>
          <w:tcPr>
            <w:tcW w:w="1278" w:type="dxa"/>
          </w:tcPr>
          <w:p w:rsidR="006D7E1A" w:rsidRDefault="006D7E1A" w:rsidP="006D7E1A">
            <w:pPr>
              <w:pStyle w:val="TableBody"/>
            </w:pPr>
            <w:r>
              <w:t xml:space="preserve"> 1-1, 1-2, 1-7,</w:t>
            </w:r>
          </w:p>
          <w:p w:rsidR="00195AC9" w:rsidRDefault="006D7E1A" w:rsidP="006D7E1A">
            <w:pPr>
              <w:pStyle w:val="TableBody"/>
            </w:pPr>
            <w:r>
              <w:t xml:space="preserve"> 1-8, 1-9</w:t>
            </w:r>
          </w:p>
        </w:tc>
        <w:tc>
          <w:tcPr>
            <w:tcW w:w="1170" w:type="dxa"/>
          </w:tcPr>
          <w:p w:rsidR="00195AC9" w:rsidRDefault="00581AD8" w:rsidP="00A703BF">
            <w:pPr>
              <w:pStyle w:val="TableBody"/>
            </w:pPr>
            <w:r>
              <w:t xml:space="preserve"> </w:t>
            </w:r>
            <w:r w:rsidR="006D7E1A">
              <w:t xml:space="preserve"> 1-7</w:t>
            </w:r>
          </w:p>
        </w:tc>
      </w:tr>
      <w:tr w:rsidR="00195AC9" w:rsidTr="006D7E1A">
        <w:tc>
          <w:tcPr>
            <w:tcW w:w="3330" w:type="dxa"/>
          </w:tcPr>
          <w:p w:rsidR="00195AC9" w:rsidRDefault="00195AC9" w:rsidP="00842BE5">
            <w:pPr>
              <w:pStyle w:val="TableBody"/>
              <w:ind w:left="360" w:hanging="360"/>
            </w:pPr>
            <w:r>
              <w:t>P2. Identify and prepare basic financial statements and explain how they interrelate.</w:t>
            </w:r>
          </w:p>
        </w:tc>
        <w:tc>
          <w:tcPr>
            <w:tcW w:w="1134" w:type="dxa"/>
          </w:tcPr>
          <w:p w:rsidR="00195AC9" w:rsidRDefault="00195AC9">
            <w:pPr>
              <w:pStyle w:val="TableBody"/>
            </w:pPr>
            <w:r>
              <w:t xml:space="preserve"> 21, 22,</w:t>
            </w:r>
            <w:r w:rsidR="00251A77">
              <w:t xml:space="preserve"> </w:t>
            </w:r>
            <w:r>
              <w:t xml:space="preserve"> 23, </w:t>
            </w:r>
            <w:r w:rsidR="00251A77">
              <w:t xml:space="preserve">  </w:t>
            </w:r>
            <w:r>
              <w:t>25,</w:t>
            </w:r>
            <w:r w:rsidR="00251A77">
              <w:t xml:space="preserve"> </w:t>
            </w:r>
            <w:r>
              <w:t>26, 27, 28,</w:t>
            </w:r>
            <w:r w:rsidR="00251A77">
              <w:t xml:space="preserve"> </w:t>
            </w:r>
            <w:r w:rsidR="008B42C7">
              <w:t xml:space="preserve">32, </w:t>
            </w:r>
            <w:r>
              <w:t>33</w:t>
            </w:r>
          </w:p>
        </w:tc>
        <w:tc>
          <w:tcPr>
            <w:tcW w:w="1206" w:type="dxa"/>
          </w:tcPr>
          <w:p w:rsidR="00195AC9" w:rsidRDefault="00C75A4C" w:rsidP="00C75A4C">
            <w:pPr>
              <w:pStyle w:val="TableBody"/>
            </w:pPr>
            <w:r>
              <w:t xml:space="preserve"> 1-12, 1-13, </w:t>
            </w:r>
            <w:r>
              <w:br/>
              <w:t xml:space="preserve"> 1-14</w:t>
            </w:r>
          </w:p>
        </w:tc>
        <w:tc>
          <w:tcPr>
            <w:tcW w:w="1242" w:type="dxa"/>
          </w:tcPr>
          <w:p w:rsidR="00C75A4C" w:rsidRDefault="00C75A4C">
            <w:pPr>
              <w:pStyle w:val="TableBody"/>
            </w:pPr>
            <w:r>
              <w:t xml:space="preserve"> 1-15,</w:t>
            </w:r>
            <w:r w:rsidR="00E62AED">
              <w:t xml:space="preserve"> </w:t>
            </w:r>
            <w:r>
              <w:t>1-16, 1-17,</w:t>
            </w:r>
            <w:r w:rsidR="00E62AED">
              <w:t xml:space="preserve"> </w:t>
            </w:r>
            <w:r>
              <w:t xml:space="preserve"> 1-18, 1-19,</w:t>
            </w:r>
            <w:r w:rsidR="00E62AED">
              <w:t xml:space="preserve"> </w:t>
            </w:r>
            <w:r>
              <w:t xml:space="preserve"> 1-20</w:t>
            </w:r>
            <w:r w:rsidR="00E62AED">
              <w:t>, 1-22</w:t>
            </w:r>
          </w:p>
        </w:tc>
        <w:tc>
          <w:tcPr>
            <w:tcW w:w="1278" w:type="dxa"/>
          </w:tcPr>
          <w:p w:rsidR="006D7E1A" w:rsidRDefault="006D7E1A" w:rsidP="006D7E1A">
            <w:pPr>
              <w:pStyle w:val="TableBody"/>
            </w:pPr>
            <w:r>
              <w:t xml:space="preserve"> 1-3, 1-4, 1-5,</w:t>
            </w:r>
          </w:p>
          <w:p w:rsidR="00195AC9" w:rsidRDefault="006D7E1A" w:rsidP="006D7E1A">
            <w:pPr>
              <w:pStyle w:val="TableBody"/>
            </w:pPr>
            <w:r>
              <w:t xml:space="preserve"> 1-6, 1-7, 1-8,</w:t>
            </w:r>
            <w:r>
              <w:br/>
              <w:t xml:space="preserve"> 1-9</w:t>
            </w:r>
          </w:p>
        </w:tc>
        <w:tc>
          <w:tcPr>
            <w:tcW w:w="1170" w:type="dxa"/>
          </w:tcPr>
          <w:p w:rsidR="00195AC9" w:rsidRDefault="00195AC9" w:rsidP="00842BE5">
            <w:pPr>
              <w:pStyle w:val="TableBody"/>
            </w:pPr>
          </w:p>
        </w:tc>
      </w:tr>
    </w:tbl>
    <w:p w:rsidR="005249D1" w:rsidRDefault="005249D1">
      <w:pPr>
        <w:rPr>
          <w:b/>
          <w:color w:val="000000"/>
          <w:u w:val="single"/>
        </w:rPr>
      </w:pPr>
    </w:p>
    <w:p w:rsidR="005249D1" w:rsidRDefault="005249D1">
      <w:pPr>
        <w:rPr>
          <w:b/>
          <w:i/>
          <w:color w:val="000000"/>
        </w:rPr>
      </w:pPr>
      <w:r>
        <w:rPr>
          <w:b/>
          <w:i/>
          <w:color w:val="000000"/>
        </w:rPr>
        <w:t>*See additional information on next page that pertains to these quick studies, exercises and problems.</w:t>
      </w:r>
    </w:p>
    <w:p w:rsidR="001F3083" w:rsidRDefault="001F3083">
      <w:pPr>
        <w:rPr>
          <w:b/>
          <w:i/>
          <w:color w:val="000000"/>
        </w:rPr>
      </w:pPr>
      <w:r>
        <w:rPr>
          <w:b/>
          <w:i/>
          <w:color w:val="000000"/>
        </w:rPr>
        <w:t>SP refers to the Serial Problem</w:t>
      </w:r>
    </w:p>
    <w:p w:rsidR="00CE0ED8" w:rsidRDefault="005249D1" w:rsidP="00CE0ED8">
      <w:pPr>
        <w:pStyle w:val="Heading1"/>
      </w:pPr>
      <w:r>
        <w:rPr>
          <w:color w:val="000000"/>
        </w:rPr>
        <w:br w:type="page"/>
      </w:r>
      <w:r w:rsidR="00CE0ED8" w:rsidDel="00CE0ED8">
        <w:lastRenderedPageBreak/>
        <w:t xml:space="preserve"> </w:t>
      </w:r>
      <w:r w:rsidR="00CE0ED8">
        <w:t xml:space="preserve">Additional Information on Related Assignment Material </w:t>
      </w:r>
    </w:p>
    <w:p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Connect</w:t>
      </w:r>
    </w:p>
    <w:p w:rsidR="00CE0ED8" w:rsidRDefault="00CE0ED8" w:rsidP="00CE0ED8">
      <w:pPr>
        <w:autoSpaceDE w:val="0"/>
        <w:autoSpaceDN w:val="0"/>
        <w:rPr>
          <w:b/>
        </w:rPr>
      </w:pPr>
      <w:r>
        <w:t>A</w:t>
      </w:r>
      <w:r w:rsidRPr="00E42383">
        <w:t>vailable on the instructor’s course-specific website) repeats all numerical Quick Studies, all Exercises and</w:t>
      </w:r>
      <w:r w:rsidRPr="00BA7BD4">
        <w:t xml:space="preserve"> Problems Set A.  </w:t>
      </w:r>
      <w:r w:rsidRPr="00B60544">
        <w:rPr>
          <w:b/>
          <w:bCs/>
          <w:i/>
          <w:iCs/>
          <w:szCs w:val="22"/>
        </w:rPr>
        <w:t>Connect</w:t>
      </w:r>
      <w:r w:rsidRPr="00B60544">
        <w:rPr>
          <w:szCs w:val="22"/>
        </w:rPr>
        <w:t xml:space="preserve"> </w:t>
      </w:r>
      <w:r>
        <w:rPr>
          <w:szCs w:val="22"/>
        </w:rPr>
        <w:t xml:space="preserve">also </w:t>
      </w:r>
      <w:r w:rsidRPr="00BA7BD4">
        <w:t xml:space="preserve">provides </w:t>
      </w:r>
      <w:r>
        <w:t>algorithmic versions for</w:t>
      </w:r>
      <w:r w:rsidRPr="00BA7BD4">
        <w:t xml:space="preserve"> Quick Study, Exercise</w:t>
      </w:r>
      <w:r>
        <w:t>s</w:t>
      </w:r>
      <w:r w:rsidRPr="00BA7BD4">
        <w:t xml:space="preserve"> </w:t>
      </w:r>
      <w:r>
        <w:t>and</w:t>
      </w:r>
      <w:r w:rsidRPr="00BA7BD4">
        <w:t xml:space="preserve"> Problem</w:t>
      </w:r>
      <w:r>
        <w:t>s</w:t>
      </w:r>
      <w:r w:rsidRPr="00BA7BD4">
        <w:t>.  It allows instructors to monitor, promote, and assess student learning.  It can be used in practice, homework, or exam mode</w:t>
      </w:r>
      <w:r w:rsidRPr="00BA7BD4">
        <w:rPr>
          <w:b/>
        </w:rPr>
        <w:t>.</w:t>
      </w:r>
    </w:p>
    <w:p w:rsidR="00CE0ED8" w:rsidRDefault="00CE0ED8" w:rsidP="00CE0ED8">
      <w:pPr>
        <w:autoSpaceDE w:val="0"/>
        <w:autoSpaceDN w:val="0"/>
        <w:rPr>
          <w:b/>
        </w:rPr>
      </w:pPr>
    </w:p>
    <w:p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Connect Insight</w:t>
      </w:r>
    </w:p>
    <w:p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The first and only analytics tool of its kind, Connect Insight is a series of visual data displays that are each framed by an intuitive question and provide at-a-glance information regarding how an instructor’s class is performing. Connect Insight is available through Connect titles.</w:t>
      </w:r>
    </w:p>
    <w:p w:rsidR="00CE0ED8" w:rsidRPr="00295145" w:rsidRDefault="00CE0ED8" w:rsidP="00CE0ED8">
      <w:pPr>
        <w:autoSpaceDE w:val="0"/>
        <w:autoSpaceDN w:val="0"/>
        <w:rPr>
          <w:rFonts w:ascii="AvenirLTPro-Heavy" w:hAnsi="AvenirLTPro-Heavy"/>
          <w:b/>
          <w:bCs/>
          <w:color w:val="000000"/>
          <w:sz w:val="24"/>
          <w:szCs w:val="24"/>
        </w:rPr>
      </w:pPr>
    </w:p>
    <w:p w:rsidR="00CE0ED8" w:rsidRPr="00295145" w:rsidRDefault="00CE0ED8" w:rsidP="00CE0ED8">
      <w:pPr>
        <w:autoSpaceDE w:val="0"/>
        <w:autoSpaceDN w:val="0"/>
        <w:rPr>
          <w:rFonts w:ascii="AvenirLTPro-Heavy" w:hAnsi="AvenirLTPro-Heavy"/>
          <w:b/>
          <w:bCs/>
          <w:color w:val="000000"/>
          <w:sz w:val="24"/>
          <w:szCs w:val="24"/>
        </w:rPr>
      </w:pPr>
    </w:p>
    <w:p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General Ledger</w:t>
      </w:r>
    </w:p>
    <w:p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General Ledger (GL) problems offer students the ability to see how transactions post from the general journal all the way through the financial statements. Critical thinking and analysis components are added to each GL problem to ensure understanding of the entire process.  GL problems are auto-graded and provide instant feedback to the student.</w:t>
      </w:r>
    </w:p>
    <w:p w:rsidR="00CE0ED8" w:rsidRDefault="00CE0ED8" w:rsidP="00CE0ED8">
      <w:pPr>
        <w:autoSpaceDE w:val="0"/>
        <w:autoSpaceDN w:val="0"/>
        <w:rPr>
          <w:rFonts w:ascii="MemphisLTPro-Medium" w:hAnsi="MemphisLTPro-Medium"/>
          <w:color w:val="21B38D"/>
          <w:sz w:val="35"/>
          <w:szCs w:val="35"/>
        </w:rPr>
      </w:pPr>
    </w:p>
    <w:p w:rsidR="00CE0ED8" w:rsidRPr="00295145" w:rsidRDefault="00CE0ED8" w:rsidP="00CE0ED8">
      <w:pPr>
        <w:autoSpaceDE w:val="0"/>
        <w:autoSpaceDN w:val="0"/>
        <w:rPr>
          <w:rFonts w:ascii="AvenirLTPro-Heavy" w:hAnsi="AvenirLTPro-Heavy"/>
          <w:b/>
          <w:bCs/>
          <w:color w:val="000000"/>
          <w:sz w:val="24"/>
          <w:szCs w:val="24"/>
        </w:rPr>
      </w:pPr>
      <w:r w:rsidRPr="00295145">
        <w:rPr>
          <w:rFonts w:ascii="AvenirLTPro-Heavy" w:hAnsi="AvenirLTPro-Heavy"/>
          <w:b/>
          <w:bCs/>
          <w:color w:val="000000"/>
          <w:sz w:val="24"/>
          <w:szCs w:val="24"/>
        </w:rPr>
        <w:t>Excel Simulations</w:t>
      </w:r>
    </w:p>
    <w:p w:rsidR="00CE0ED8" w:rsidRDefault="00CE0ED8" w:rsidP="00CE0ED8">
      <w:pPr>
        <w:autoSpaceDE w:val="0"/>
        <w:autoSpaceDN w:val="0"/>
        <w:rPr>
          <w:rFonts w:ascii="AvenirLTPro-Light" w:hAnsi="AvenirLTPro-Light"/>
          <w:color w:val="000000"/>
          <w:sz w:val="20"/>
        </w:rPr>
      </w:pPr>
      <w:r>
        <w:rPr>
          <w:rFonts w:ascii="AvenirLTPro-Light" w:hAnsi="AvenirLTPro-Light"/>
          <w:color w:val="000000"/>
          <w:sz w:val="20"/>
        </w:rPr>
        <w:t>Assignable within Connect, Excel Simulations allow students to practice their Excel skills—such as basic formulas and formatting—within the context of accounting. These questions feature animated, narrated Help and Show Me tutorials (when enabled). Excel Simulations are auto-graded and provide instant feedback to the student.</w:t>
      </w:r>
    </w:p>
    <w:p w:rsidR="005249D1" w:rsidRDefault="005249D1" w:rsidP="00E11AEF">
      <w:pPr>
        <w:pStyle w:val="Heading1"/>
      </w:pPr>
    </w:p>
    <w:p w:rsidR="001D5B59" w:rsidRDefault="001D5B59" w:rsidP="000E4EF3">
      <w:pPr>
        <w:jc w:val="center"/>
        <w:rPr>
          <w:b/>
          <w:sz w:val="24"/>
          <w:szCs w:val="24"/>
          <w:u w:val="single"/>
        </w:rPr>
      </w:pPr>
    </w:p>
    <w:p w:rsidR="001D5B59" w:rsidRPr="00BF7CD2" w:rsidRDefault="001D5B59" w:rsidP="001D5B59">
      <w:pPr>
        <w:pStyle w:val="Heading1"/>
      </w:pPr>
      <w:r w:rsidRPr="00BF7CD2">
        <w:t>Synopsis of Chapter Revisions</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opener—Apple and entrepreneurial assignment.</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salary info for accountants and for those with college degrees.</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Streamlined “Fraud Triangle” section.</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“Cooking the Books” Fraud box.</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Moved “Enforcing Ethics” section to earlier in chapter</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Streamlined the “Fundamentals of Accounting” section.</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Streamlined the “International Standards” section.</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the Revenue Recognition section</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New margin point to highlight layout of statement of owner’s equity.</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Sustainability section for Apple’s renewable energy efforts, including SASB.</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Updated Decision Insights box on sustainability returns.</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New company, Verizon, for Decision Analysis section.</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Streamlined Appendix 1A and 1B.</w:t>
      </w:r>
    </w:p>
    <w:p w:rsidR="00BF7CD2" w:rsidRPr="00E11AEF" w:rsidRDefault="00BF7CD2" w:rsidP="00E11AEF">
      <w:pPr>
        <w:pStyle w:val="ListParagraph"/>
        <w:numPr>
          <w:ilvl w:val="0"/>
          <w:numId w:val="30"/>
        </w:numPr>
        <w:autoSpaceDE w:val="0"/>
        <w:autoSpaceDN w:val="0"/>
        <w:adjustRightInd w:val="0"/>
        <w:rPr>
          <w:rFonts w:ascii="AvenirLTPro-Light" w:hAnsi="AvenirLTPro-Light"/>
          <w:sz w:val="20"/>
        </w:rPr>
      </w:pPr>
      <w:r w:rsidRPr="00E11AEF">
        <w:rPr>
          <w:rFonts w:ascii="AvenirLTPro-Light" w:hAnsi="AvenirLTPro-Light"/>
          <w:sz w:val="20"/>
        </w:rPr>
        <w:t>Added new Exercise.</w:t>
      </w:r>
    </w:p>
    <w:p w:rsidR="001D5B59" w:rsidRDefault="001D5B59" w:rsidP="00E11AEF">
      <w:pPr>
        <w:rPr>
          <w:b/>
          <w:sz w:val="24"/>
          <w:szCs w:val="24"/>
          <w:u w:val="single"/>
        </w:rPr>
      </w:pPr>
    </w:p>
    <w:p w:rsidR="001D5B59" w:rsidRDefault="001D5B59" w:rsidP="000E4EF3">
      <w:pPr>
        <w:jc w:val="center"/>
        <w:rPr>
          <w:b/>
          <w:sz w:val="24"/>
          <w:szCs w:val="24"/>
          <w:u w:val="single"/>
        </w:rPr>
      </w:pPr>
    </w:p>
    <w:p w:rsidR="001D5B59" w:rsidRDefault="001D5B59" w:rsidP="00E11AEF">
      <w:pPr>
        <w:rPr>
          <w:b/>
          <w:sz w:val="24"/>
          <w:szCs w:val="24"/>
          <w:u w:val="single"/>
        </w:rPr>
      </w:pPr>
    </w:p>
    <w:p w:rsidR="00DA2E13" w:rsidRDefault="005249D1" w:rsidP="002D21D9">
      <w:pPr>
        <w:pStyle w:val="Heading1"/>
      </w:pPr>
      <w:r>
        <w:br w:type="page"/>
      </w:r>
    </w:p>
    <w:tbl>
      <w:tblPr>
        <w:tblW w:w="0" w:type="auto"/>
        <w:tblLayout w:type="fixed"/>
        <w:tblLook w:val="0000" w:firstRow="0" w:lastRow="0" w:firstColumn="0" w:lastColumn="0" w:noHBand="0" w:noVBand="0"/>
      </w:tblPr>
      <w:tblGrid>
        <w:gridCol w:w="7200"/>
        <w:gridCol w:w="2358"/>
      </w:tblGrid>
      <w:tr w:rsidR="002D21D9" w:rsidTr="002E66BA">
        <w:tc>
          <w:tcPr>
            <w:tcW w:w="7200" w:type="dxa"/>
            <w:tcBorders>
              <w:right w:val="single" w:sz="4" w:space="0" w:color="auto"/>
            </w:tcBorders>
          </w:tcPr>
          <w:p w:rsidR="002D21D9" w:rsidRDefault="002D21D9" w:rsidP="002E66BA">
            <w:pPr>
              <w:pStyle w:val="Heading1"/>
            </w:pPr>
            <w:r>
              <w:lastRenderedPageBreak/>
              <w:br w:type="page"/>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blPrEx>
          <w:tblBorders>
            <w:insideV w:val="single" w:sz="4" w:space="0" w:color="auto"/>
          </w:tblBorders>
        </w:tblPrEx>
        <w:tc>
          <w:tcPr>
            <w:tcW w:w="7200" w:type="dxa"/>
          </w:tcPr>
          <w:p w:rsidR="002D21D9" w:rsidRDefault="002D21D9" w:rsidP="002E66BA">
            <w:pPr>
              <w:pStyle w:val="Outline1"/>
              <w:numPr>
                <w:ilvl w:val="0"/>
                <w:numId w:val="3"/>
              </w:numPr>
              <w:tabs>
                <w:tab w:val="clear" w:pos="1440"/>
              </w:tabs>
              <w:rPr>
                <w:b/>
              </w:rPr>
            </w:pPr>
            <w:r>
              <w:rPr>
                <w:b/>
              </w:rPr>
              <w:t>Importance of Accounting</w:t>
            </w:r>
            <w:r>
              <w:t>—we live in the information age, where information, and its reliability, impacts the financial well-being of us all.</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pPr>
              <w:pStyle w:val="Outline2"/>
              <w:numPr>
                <w:ilvl w:val="0"/>
                <w:numId w:val="1"/>
              </w:numPr>
            </w:pPr>
            <w:r>
              <w:t>Accounting Activities</w:t>
            </w:r>
            <w:r>
              <w:br/>
            </w:r>
            <w:proofErr w:type="gramStart"/>
            <w:r>
              <w:rPr>
                <w:i/>
              </w:rPr>
              <w:t>Accounting</w:t>
            </w:r>
            <w:proofErr w:type="gramEnd"/>
            <w:r>
              <w:t xml:space="preserve"> is an information and measurement system that identifies, records and communicates information about an organizations business activities. </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2"/>
              <w:numPr>
                <w:ilvl w:val="0"/>
                <w:numId w:val="2"/>
              </w:numPr>
            </w:pPr>
            <w:r>
              <w:t>Users of Accounting Information</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3"/>
              <w:numPr>
                <w:ilvl w:val="0"/>
                <w:numId w:val="4"/>
              </w:numPr>
            </w:pPr>
            <w:r>
              <w:t xml:space="preserve">External Information Users—those </w:t>
            </w:r>
            <w:r w:rsidRPr="0097307F">
              <w:rPr>
                <w:i/>
              </w:rPr>
              <w:t xml:space="preserve">not </w:t>
            </w:r>
            <w:r>
              <w:t>directly involved with running the company.  Examples: shareholders (investors), lenders, directors, external auditors, non-executive employees, labor unions, regulators, voters, legislators, government officials, customers, suppliers, lawyers, brokers, etc.</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4"/>
              <w:numPr>
                <w:ilvl w:val="0"/>
                <w:numId w:val="5"/>
              </w:numPr>
            </w:pPr>
            <w:r>
              <w:t xml:space="preserve">Financial Accounting—area of accounting aimed at serving external users by providing them with </w:t>
            </w:r>
            <w:r>
              <w:rPr>
                <w:i/>
              </w:rPr>
              <w:t>general-purpose financial statements</w:t>
            </w:r>
            <w:r>
              <w:t>.</w:t>
            </w:r>
          </w:p>
          <w:p w:rsidR="002D21D9" w:rsidRDefault="002D21D9" w:rsidP="002E66BA">
            <w:pPr>
              <w:pStyle w:val="Outline4"/>
              <w:numPr>
                <w:ilvl w:val="0"/>
                <w:numId w:val="5"/>
              </w:numPr>
            </w:pPr>
            <w:r>
              <w:t>General-Purpose Financial Statement</w:t>
            </w:r>
            <w:r w:rsidR="00ED1841">
              <w:t>s</w:t>
            </w:r>
            <w:r>
              <w:t>—statements that have broad range of purposes which external users rely on.</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3"/>
            </w:pPr>
            <w:r>
              <w:t>2.</w:t>
            </w:r>
            <w:r>
              <w:tab/>
              <w:t>Internal Information Users—those directly involved in managing and operating an organization.</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D21D9">
            <w:pPr>
              <w:pStyle w:val="Outline4"/>
              <w:numPr>
                <w:ilvl w:val="0"/>
                <w:numId w:val="6"/>
              </w:numPr>
            </w:pPr>
            <w:r>
              <w:t>Managerial Accounting—area of accounting that serves the decision-making needs of internal users.</w:t>
            </w:r>
          </w:p>
          <w:p w:rsidR="002D21D9" w:rsidRDefault="002D21D9">
            <w:pPr>
              <w:pStyle w:val="Outline4"/>
              <w:numPr>
                <w:ilvl w:val="0"/>
                <w:numId w:val="6"/>
              </w:numPr>
            </w:pPr>
            <w:r>
              <w:t xml:space="preserve">Internal Reports—not subject to same rules as external reports.  They are designed </w:t>
            </w:r>
            <w:r w:rsidR="00F82AA3">
              <w:t xml:space="preserve">for the </w:t>
            </w:r>
            <w:r>
              <w:t xml:space="preserve">special needs of </w:t>
            </w:r>
            <w:r w:rsidR="00F82AA3">
              <w:t xml:space="preserve">internal </w:t>
            </w:r>
            <w:r>
              <w:t>users.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2"/>
            </w:pPr>
            <w:r>
              <w:br w:type="page"/>
              <w:t>C.</w:t>
            </w:r>
            <w:r>
              <w:tab/>
              <w:t>Opportunities in Accounting</w:t>
            </w:r>
            <w:r>
              <w:br/>
              <w:t>Four broad areas of opportunities are financial, managerial, taxation, and accounting related.</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3"/>
            </w:pPr>
            <w:r>
              <w:t>1.</w:t>
            </w:r>
            <w:r>
              <w:tab/>
              <w:t>Private accounting offers the most opportunities.</w:t>
            </w:r>
          </w:p>
          <w:p w:rsidR="002D21D9" w:rsidRDefault="002D21D9" w:rsidP="002E66BA">
            <w:pPr>
              <w:pStyle w:val="Outline3"/>
            </w:pPr>
            <w:r>
              <w:t>2.</w:t>
            </w:r>
            <w:r>
              <w:tab/>
              <w:t>Public accounting offers the next largest number of opportunities</w:t>
            </w:r>
          </w:p>
          <w:p w:rsidR="002D21D9" w:rsidRDefault="002D21D9" w:rsidP="002E66BA">
            <w:pPr>
              <w:pStyle w:val="Outline3"/>
            </w:pPr>
            <w:r>
              <w:t>3.</w:t>
            </w:r>
            <w:r>
              <w:tab/>
              <w:t>Government (and not-for-profit) agencies, including business regulation and investigation of law violations also offer opportunities.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1"/>
              <w:rPr>
                <w:b/>
                <w:bCs/>
              </w:rPr>
            </w:pPr>
            <w:r>
              <w:rPr>
                <w:b/>
                <w:bCs/>
              </w:rPr>
              <w:t>II.</w:t>
            </w:r>
            <w:r>
              <w:tab/>
            </w:r>
            <w:r>
              <w:rPr>
                <w:b/>
              </w:rPr>
              <w:t>Fundamentals of Accounting</w:t>
            </w:r>
            <w:r>
              <w:t>—accounting is guided by principles, standards, concepts, and assumptions.</w:t>
            </w:r>
          </w:p>
        </w:tc>
        <w:tc>
          <w:tcPr>
            <w:tcW w:w="2358" w:type="dxa"/>
          </w:tcPr>
          <w:p w:rsidR="002D21D9" w:rsidRDefault="002D21D9" w:rsidP="002E66BA">
            <w:pPr>
              <w:pStyle w:val="Outline1"/>
              <w:ind w:left="0" w:firstLine="0"/>
              <w:rPr>
                <w:b/>
                <w:bCs/>
              </w:rPr>
            </w:pPr>
          </w:p>
        </w:tc>
      </w:tr>
      <w:tr w:rsidR="002D21D9" w:rsidTr="002E66BA">
        <w:tblPrEx>
          <w:tblBorders>
            <w:insideV w:val="single" w:sz="4" w:space="0" w:color="auto"/>
          </w:tblBorders>
        </w:tblPrEx>
        <w:tc>
          <w:tcPr>
            <w:tcW w:w="7200" w:type="dxa"/>
          </w:tcPr>
          <w:p w:rsidR="002D21D9" w:rsidRDefault="002D21D9" w:rsidP="002E66BA">
            <w:pPr>
              <w:pStyle w:val="Outline2"/>
            </w:pPr>
            <w:r>
              <w:t>A.</w:t>
            </w:r>
            <w:r>
              <w:tab/>
              <w:t>Ethics—a key concept.  Ethics are beliefs that distinguish right from wrong.</w:t>
            </w:r>
          </w:p>
          <w:p w:rsidR="002D21D9" w:rsidRDefault="002D21D9" w:rsidP="002E66BA">
            <w:pPr>
              <w:pStyle w:val="Outline2"/>
            </w:pPr>
            <w:r>
              <w:t xml:space="preserve">B. </w:t>
            </w:r>
            <w:r>
              <w:tab/>
              <w:t>Fraud Triangle—model that asserts three factors must exist for person to commit fraud: opportunity, pressure, and rationalization.</w:t>
            </w:r>
          </w:p>
        </w:tc>
        <w:tc>
          <w:tcPr>
            <w:tcW w:w="2358" w:type="dxa"/>
          </w:tcPr>
          <w:p w:rsidR="002D21D9" w:rsidRDefault="002D21D9" w:rsidP="002E66BA">
            <w:pPr>
              <w:pStyle w:val="Outline1"/>
              <w:ind w:left="0" w:firstLine="0"/>
              <w:rPr>
                <w:b/>
                <w:bCs/>
              </w:rPr>
            </w:pPr>
          </w:p>
        </w:tc>
      </w:tr>
    </w:tbl>
    <w:p w:rsidR="002D21D9" w:rsidRDefault="002D21D9" w:rsidP="002D21D9">
      <w:r>
        <w:br w:type="page"/>
      </w:r>
    </w:p>
    <w:tbl>
      <w:tblPr>
        <w:tblW w:w="0" w:type="auto"/>
        <w:tblLayout w:type="fixed"/>
        <w:tblLook w:val="0000" w:firstRow="0" w:lastRow="0" w:firstColumn="0" w:lastColumn="0" w:noHBand="0" w:noVBand="0"/>
      </w:tblPr>
      <w:tblGrid>
        <w:gridCol w:w="7200"/>
        <w:gridCol w:w="2358"/>
      </w:tblGrid>
      <w:tr w:rsidR="002D21D9" w:rsidTr="002E66BA">
        <w:tc>
          <w:tcPr>
            <w:tcW w:w="7200" w:type="dxa"/>
            <w:tcBorders>
              <w:right w:val="single" w:sz="4" w:space="0" w:color="auto"/>
            </w:tcBorders>
          </w:tcPr>
          <w:p w:rsidR="002D21D9" w:rsidRDefault="002D21D9" w:rsidP="002E66BA">
            <w:pPr>
              <w:pStyle w:val="Heading1"/>
            </w:pPr>
            <w:r>
              <w:lastRenderedPageBreak/>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blPrEx>
          <w:tblBorders>
            <w:insideV w:val="single" w:sz="4" w:space="0" w:color="auto"/>
          </w:tblBorders>
        </w:tblPrEx>
        <w:tc>
          <w:tcPr>
            <w:tcW w:w="7200" w:type="dxa"/>
          </w:tcPr>
          <w:p w:rsidR="002D21D9" w:rsidRDefault="002D21D9" w:rsidP="002E66BA">
            <w:pPr>
              <w:pStyle w:val="Outline2"/>
            </w:pPr>
            <w:r>
              <w:t xml:space="preserve">C. </w:t>
            </w:r>
            <w:r>
              <w:tab/>
              <w:t>Internal Controls—procedures set up to protect company property and equipment and insure reliable accounting reports, promote</w:t>
            </w:r>
            <w:r w:rsidR="00ED1841">
              <w:t>s</w:t>
            </w:r>
            <w:r>
              <w:t xml:space="preserve"> efficiency, and encourage adherence to company policies.</w:t>
            </w:r>
            <w:r w:rsidR="00C557D9">
              <w:t xml:space="preserve"> Congress passed Sarbanes-Oxley Act and Dodd-Frank Wall Street Reform and Consumer Protection Act to help enforce ethics at publicly traded companies.</w:t>
            </w:r>
          </w:p>
          <w:p w:rsidR="002D21D9" w:rsidRDefault="002D21D9" w:rsidP="002E66BA">
            <w:pPr>
              <w:pStyle w:val="Outline2"/>
            </w:pPr>
            <w:r>
              <w:t>D.</w:t>
            </w:r>
            <w:r>
              <w:tab/>
              <w:t>Generally Accepted Accounting Principles (GAAP)—concepts and rules that govern financial accounting.  Purpose of GAAP is to make information in accounting statements relevant, reliable and comparable.</w:t>
            </w:r>
          </w:p>
        </w:tc>
        <w:tc>
          <w:tcPr>
            <w:tcW w:w="2358" w:type="dxa"/>
          </w:tcPr>
          <w:p w:rsidR="002D21D9" w:rsidRDefault="002D21D9" w:rsidP="002E66BA">
            <w:pPr>
              <w:pStyle w:val="Outline1"/>
              <w:ind w:left="0" w:firstLine="0"/>
              <w:rPr>
                <w:b/>
                <w:bCs/>
              </w:rPr>
            </w:pPr>
          </w:p>
        </w:tc>
      </w:tr>
      <w:tr w:rsidR="002D21D9" w:rsidTr="002E66BA">
        <w:tblPrEx>
          <w:tblBorders>
            <w:insideV w:val="single" w:sz="4" w:space="0" w:color="auto"/>
          </w:tblBorders>
        </w:tblPrEx>
        <w:tc>
          <w:tcPr>
            <w:tcW w:w="7200" w:type="dxa"/>
          </w:tcPr>
          <w:p w:rsidR="002D21D9" w:rsidRDefault="002D21D9" w:rsidP="002E66BA">
            <w:pPr>
              <w:pStyle w:val="Outline3"/>
            </w:pPr>
            <w:r>
              <w:t>1.</w:t>
            </w:r>
            <w:r>
              <w:tab/>
              <w:t xml:space="preserve">Setting Accounting Principles  </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4"/>
            </w:pPr>
            <w:proofErr w:type="gramStart"/>
            <w:r>
              <w:t>a</w:t>
            </w:r>
            <w:proofErr w:type="gramEnd"/>
            <w:r>
              <w:t>.</w:t>
            </w:r>
            <w:r>
              <w:tab/>
              <w:t>In U.S. major rule-setting bodies are the Securities and Exchange Commission (SEC) and the Financial Accounting Standards Board (FASB). SEC delegated authority to set U.S. GAAP to the FASB.</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Default="002D21D9" w:rsidP="002E66BA">
            <w:pPr>
              <w:pStyle w:val="Outline4"/>
            </w:pPr>
            <w:proofErr w:type="gramStart"/>
            <w:r>
              <w:t>b</w:t>
            </w:r>
            <w:proofErr w:type="gramEnd"/>
            <w:r>
              <w:t>.</w:t>
            </w:r>
            <w:r>
              <w:tab/>
              <w:t xml:space="preserve">The International Accounting Standards Board (IASB) issues standards (International Financial Reporting Standards or IFRS)  that identify preferred accounting practices in the global economy. </w:t>
            </w:r>
            <w:r w:rsidR="00C557D9">
              <w:t>IFRS are similar but sometimes difference from U.S. GAAP.</w:t>
            </w:r>
          </w:p>
          <w:p w:rsidR="002D21D9" w:rsidRDefault="002D21D9" w:rsidP="002E66BA">
            <w:pPr>
              <w:pStyle w:val="Outline4"/>
            </w:pPr>
            <w:r>
              <w:t xml:space="preserve">c. </w:t>
            </w:r>
            <w:r>
              <w:tab/>
              <w:t xml:space="preserve">Differences between U.S. GAAP and IFRS are decreasing as the FASB and IASB pursue convergence. </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blPrEx>
          <w:tblBorders>
            <w:insideV w:val="single" w:sz="4" w:space="0" w:color="auto"/>
          </w:tblBorders>
        </w:tblPrEx>
        <w:tc>
          <w:tcPr>
            <w:tcW w:w="7200" w:type="dxa"/>
          </w:tcPr>
          <w:p w:rsidR="002D21D9" w:rsidRPr="003A7885" w:rsidRDefault="002D21D9">
            <w:pPr>
              <w:pStyle w:val="Outline3"/>
              <w:numPr>
                <w:ilvl w:val="0"/>
                <w:numId w:val="4"/>
              </w:numPr>
            </w:pPr>
            <w:r w:rsidRPr="003A7885">
              <w:rPr>
                <w:rFonts w:eastAsia="Calibri"/>
              </w:rPr>
              <w:t>Conceptual Framework</w:t>
            </w:r>
            <w:r w:rsidR="00C557D9">
              <w:rPr>
                <w:rFonts w:eastAsia="Calibri"/>
              </w:rPr>
              <w:t xml:space="preserve"> </w:t>
            </w:r>
            <w:r>
              <w:rPr>
                <w:rFonts w:eastAsia="Calibri"/>
              </w:rPr>
              <w:t>consists of:</w:t>
            </w:r>
          </w:p>
        </w:tc>
        <w:tc>
          <w:tcPr>
            <w:tcW w:w="2358" w:type="dxa"/>
          </w:tcPr>
          <w:p w:rsidR="002D21D9" w:rsidRDefault="002D21D9" w:rsidP="002E66BA">
            <w:pPr>
              <w:pStyle w:val="Outline3"/>
              <w:rPr>
                <w:b/>
                <w:sz w:val="20"/>
              </w:rPr>
            </w:pPr>
          </w:p>
        </w:tc>
      </w:tr>
      <w:tr w:rsidR="002D21D9" w:rsidTr="002E66BA">
        <w:tblPrEx>
          <w:tblBorders>
            <w:insideV w:val="single" w:sz="4" w:space="0" w:color="auto"/>
          </w:tblBorders>
        </w:tblPrEx>
        <w:tc>
          <w:tcPr>
            <w:tcW w:w="7200" w:type="dxa"/>
          </w:tcPr>
          <w:p w:rsidR="002D21D9" w:rsidRPr="009F30B0" w:rsidRDefault="002D21D9" w:rsidP="002D21D9">
            <w:pPr>
              <w:pStyle w:val="Outline4"/>
              <w:numPr>
                <w:ilvl w:val="0"/>
                <w:numId w:val="17"/>
              </w:numPr>
              <w:rPr>
                <w:rFonts w:eastAsia="Calibri"/>
                <w:szCs w:val="21"/>
              </w:rPr>
            </w:pPr>
            <w:r w:rsidRPr="009F30B0">
              <w:rPr>
                <w:rFonts w:eastAsia="Calibri"/>
                <w:szCs w:val="21"/>
              </w:rPr>
              <w:t>Objectives—to provide information useful to investors, creditors, and others.</w:t>
            </w:r>
          </w:p>
          <w:p w:rsidR="002D21D9" w:rsidRPr="009F30B0" w:rsidRDefault="002D21D9" w:rsidP="002D21D9">
            <w:pPr>
              <w:pStyle w:val="Outline4"/>
              <w:numPr>
                <w:ilvl w:val="0"/>
                <w:numId w:val="17"/>
              </w:numPr>
              <w:rPr>
                <w:rFonts w:eastAsia="Calibri"/>
                <w:szCs w:val="21"/>
              </w:rPr>
            </w:pPr>
            <w:r w:rsidRPr="009F30B0">
              <w:rPr>
                <w:rFonts w:eastAsia="Calibri"/>
                <w:szCs w:val="21"/>
              </w:rPr>
              <w:t>Qualitative Characteristics—to require information that is relevant, reliable</w:t>
            </w:r>
            <w:r w:rsidR="00ED1841">
              <w:rPr>
                <w:rFonts w:eastAsia="Calibri"/>
                <w:szCs w:val="21"/>
              </w:rPr>
              <w:t xml:space="preserve"> and </w:t>
            </w:r>
            <w:r w:rsidRPr="009F30B0">
              <w:rPr>
                <w:rFonts w:eastAsia="Calibri"/>
                <w:szCs w:val="21"/>
              </w:rPr>
              <w:t>comparable.</w:t>
            </w:r>
          </w:p>
          <w:p w:rsidR="002D21D9" w:rsidRPr="009F30B0" w:rsidRDefault="002D21D9" w:rsidP="002D21D9">
            <w:pPr>
              <w:pStyle w:val="Outline4"/>
              <w:numPr>
                <w:ilvl w:val="0"/>
                <w:numId w:val="17"/>
              </w:numPr>
              <w:rPr>
                <w:rFonts w:eastAsia="Calibri"/>
                <w:szCs w:val="21"/>
              </w:rPr>
            </w:pPr>
            <w:r w:rsidRPr="009F30B0">
              <w:rPr>
                <w:rFonts w:eastAsia="Calibri"/>
                <w:szCs w:val="21"/>
              </w:rPr>
              <w:t>Elements—to define items that financial statements can contain.</w:t>
            </w:r>
          </w:p>
          <w:p w:rsidR="002D21D9" w:rsidRPr="009F30B0" w:rsidRDefault="002D21D9" w:rsidP="002D21D9">
            <w:pPr>
              <w:pStyle w:val="Outline4"/>
              <w:numPr>
                <w:ilvl w:val="0"/>
                <w:numId w:val="17"/>
              </w:numPr>
            </w:pPr>
            <w:r w:rsidRPr="009F30B0">
              <w:rPr>
                <w:rFonts w:eastAsia="Calibri"/>
                <w:szCs w:val="21"/>
              </w:rPr>
              <w:t>Recognition and Measurement—to set criteria that an item must meet for it to be recognized as an element; and how to measure that element.</w:t>
            </w:r>
          </w:p>
        </w:tc>
        <w:tc>
          <w:tcPr>
            <w:tcW w:w="2358" w:type="dxa"/>
          </w:tcPr>
          <w:p w:rsidR="002D21D9" w:rsidRDefault="002D21D9" w:rsidP="002E66BA">
            <w:pPr>
              <w:pStyle w:val="Outline4"/>
              <w:rPr>
                <w:b/>
                <w:sz w:val="20"/>
              </w:rPr>
            </w:pPr>
          </w:p>
        </w:tc>
      </w:tr>
      <w:tr w:rsidR="002D21D9" w:rsidTr="002E66BA">
        <w:tblPrEx>
          <w:tblBorders>
            <w:insideV w:val="single" w:sz="4" w:space="0" w:color="auto"/>
          </w:tblBorders>
        </w:tblPrEx>
        <w:tc>
          <w:tcPr>
            <w:tcW w:w="7200" w:type="dxa"/>
          </w:tcPr>
          <w:p w:rsidR="002D21D9" w:rsidRPr="009F30B0" w:rsidRDefault="002D21D9" w:rsidP="002E66BA">
            <w:pPr>
              <w:pStyle w:val="Outline3"/>
              <w:numPr>
                <w:ilvl w:val="0"/>
                <w:numId w:val="4"/>
              </w:numPr>
            </w:pPr>
            <w:r>
              <w:t xml:space="preserve">Principles and Assumptions of Accounting—two types are </w:t>
            </w:r>
            <w:r>
              <w:rPr>
                <w:i/>
              </w:rPr>
              <w:t>general</w:t>
            </w:r>
            <w:r w:rsidR="00ED1841">
              <w:rPr>
                <w:i/>
              </w:rPr>
              <w:t xml:space="preserve"> principles</w:t>
            </w:r>
            <w:r>
              <w:t xml:space="preserve"> (assumptions, concepts and guidelines for preparing financial statements; stem from long used accounting practices) and </w:t>
            </w:r>
            <w:r>
              <w:rPr>
                <w:i/>
              </w:rPr>
              <w:t>specific</w:t>
            </w:r>
            <w:r w:rsidR="00ED1841">
              <w:rPr>
                <w:i/>
              </w:rPr>
              <w:t xml:space="preserve"> principles</w:t>
            </w:r>
            <w:r>
              <w:rPr>
                <w:i/>
              </w:rPr>
              <w:t xml:space="preserve"> </w:t>
            </w:r>
            <w:r>
              <w:t xml:space="preserve">(detailed rules used in reporting transactions; from rulings of authoritative bodies). </w:t>
            </w:r>
            <w:r w:rsidR="00DA7906">
              <w:br/>
            </w:r>
            <w:r>
              <w:t>The four principles discussed in this chapter are:</w:t>
            </w:r>
          </w:p>
        </w:tc>
        <w:tc>
          <w:tcPr>
            <w:tcW w:w="2358" w:type="dxa"/>
          </w:tcPr>
          <w:p w:rsidR="002D21D9" w:rsidRDefault="002D21D9" w:rsidP="002E66BA">
            <w:pPr>
              <w:pStyle w:val="Outline4"/>
              <w:rPr>
                <w:b/>
                <w:sz w:val="20"/>
              </w:rPr>
            </w:pPr>
          </w:p>
        </w:tc>
      </w:tr>
    </w:tbl>
    <w:p w:rsidR="002D21D9" w:rsidRDefault="002D21D9" w:rsidP="002D21D9">
      <w:r>
        <w:br w:type="page"/>
      </w:r>
    </w:p>
    <w:tbl>
      <w:tblPr>
        <w:tblW w:w="0" w:type="auto"/>
        <w:tblBorders>
          <w:insideV w:val="single" w:sz="4" w:space="0" w:color="auto"/>
        </w:tblBorders>
        <w:tblLayout w:type="fixed"/>
        <w:tblLook w:val="0000" w:firstRow="0" w:lastRow="0" w:firstColumn="0" w:lastColumn="0" w:noHBand="0" w:noVBand="0"/>
      </w:tblPr>
      <w:tblGrid>
        <w:gridCol w:w="7200"/>
        <w:gridCol w:w="2358"/>
      </w:tblGrid>
      <w:tr w:rsidR="002D21D9" w:rsidTr="002E66BA">
        <w:tc>
          <w:tcPr>
            <w:tcW w:w="7200" w:type="dxa"/>
            <w:tcBorders>
              <w:right w:val="single" w:sz="4" w:space="0" w:color="auto"/>
            </w:tcBorders>
          </w:tcPr>
          <w:p w:rsidR="002D21D9" w:rsidRDefault="002D21D9" w:rsidP="002E66BA">
            <w:pPr>
              <w:pStyle w:val="Heading1"/>
            </w:pPr>
            <w:r>
              <w:lastRenderedPageBreak/>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c>
          <w:tcPr>
            <w:tcW w:w="7200" w:type="dxa"/>
          </w:tcPr>
          <w:p w:rsidR="002D21D9" w:rsidRPr="009F30B0" w:rsidRDefault="002D21D9">
            <w:pPr>
              <w:pStyle w:val="Outline4"/>
              <w:numPr>
                <w:ilvl w:val="0"/>
                <w:numId w:val="11"/>
              </w:numPr>
            </w:pPr>
            <w:r>
              <w:rPr>
                <w:i/>
              </w:rPr>
              <w:t>Measurement principle also called the cost principle</w:t>
            </w:r>
            <w:r>
              <w:t xml:space="preserve">—financial statements are based on actual costs </w:t>
            </w:r>
            <w:r w:rsidRPr="00E52B19">
              <w:rPr>
                <w:szCs w:val="22"/>
              </w:rPr>
              <w:t>(</w:t>
            </w:r>
            <w:proofErr w:type="gramStart"/>
            <w:r w:rsidRPr="00E52B19">
              <w:rPr>
                <w:szCs w:val="22"/>
              </w:rPr>
              <w:t xml:space="preserve">with  </w:t>
            </w:r>
            <w:r w:rsidR="00F664AD">
              <w:rPr>
                <w:szCs w:val="22"/>
              </w:rPr>
              <w:t>possible</w:t>
            </w:r>
            <w:proofErr w:type="gramEnd"/>
            <w:r w:rsidR="00F664AD">
              <w:rPr>
                <w:szCs w:val="22"/>
              </w:rPr>
              <w:t xml:space="preserve"> later</w:t>
            </w:r>
            <w:r w:rsidR="00ED1841">
              <w:rPr>
                <w:szCs w:val="22"/>
              </w:rPr>
              <w:t xml:space="preserve"> adjustments to market) </w:t>
            </w:r>
            <w:r>
              <w:t>incurred in business transactions. Cost is measured on a cash or equal-to-cash basis. This principle emphasizes reliability and verifiability</w:t>
            </w:r>
            <w:r w:rsidR="00ED1841">
              <w:t xml:space="preserve">; </w:t>
            </w:r>
            <w:r>
              <w:t xml:space="preserve">information based on cost is considered objective.  </w:t>
            </w:r>
            <w:r>
              <w:rPr>
                <w:i/>
              </w:rPr>
              <w:t xml:space="preserve">Objectivity </w:t>
            </w:r>
            <w:r>
              <w:t xml:space="preserve">means information is supported by </w:t>
            </w:r>
            <w:r w:rsidR="00ED1841">
              <w:t xml:space="preserve">independent </w:t>
            </w:r>
            <w:r>
              <w:t>unbiased evidence: more than someone's opinion.</w:t>
            </w:r>
          </w:p>
        </w:tc>
        <w:tc>
          <w:tcPr>
            <w:tcW w:w="2358" w:type="dxa"/>
          </w:tcPr>
          <w:p w:rsidR="002D21D9" w:rsidRDefault="002D21D9" w:rsidP="002E66BA">
            <w:pPr>
              <w:pStyle w:val="Outline4"/>
              <w:rPr>
                <w:b/>
                <w:sz w:val="20"/>
              </w:rPr>
            </w:pPr>
          </w:p>
        </w:tc>
      </w:tr>
      <w:tr w:rsidR="002D21D9" w:rsidTr="002E66BA">
        <w:trPr>
          <w:trHeight w:val="2907"/>
        </w:trPr>
        <w:tc>
          <w:tcPr>
            <w:tcW w:w="7200" w:type="dxa"/>
          </w:tcPr>
          <w:p w:rsidR="002D21D9" w:rsidRDefault="002D21D9" w:rsidP="002D21D9">
            <w:pPr>
              <w:pStyle w:val="Outline4"/>
              <w:numPr>
                <w:ilvl w:val="0"/>
                <w:numId w:val="11"/>
              </w:numPr>
            </w:pPr>
            <w:r>
              <w:rPr>
                <w:i/>
              </w:rPr>
              <w:t>Revenue recognition principle</w:t>
            </w:r>
            <w:r>
              <w:t xml:space="preserve">—revenue is recognized (recorded) when </w:t>
            </w:r>
            <w:r w:rsidR="00F664AD">
              <w:t>goods or services are provided to customers and at the amount expected to be received from the customer</w:t>
            </w:r>
            <w:r>
              <w:t>.</w:t>
            </w:r>
          </w:p>
          <w:p w:rsidR="002D21D9" w:rsidRDefault="002D21D9" w:rsidP="002D21D9">
            <w:pPr>
              <w:pStyle w:val="Outline4"/>
              <w:numPr>
                <w:ilvl w:val="0"/>
                <w:numId w:val="11"/>
              </w:numPr>
            </w:pPr>
            <w:r>
              <w:rPr>
                <w:i/>
              </w:rPr>
              <w:t>Expense recognition principle, also called matching principle</w:t>
            </w:r>
            <w:r>
              <w:t>—prescribes that a company records expenses incurred to generate revenues it reported.</w:t>
            </w:r>
          </w:p>
          <w:p w:rsidR="002D21D9" w:rsidRPr="002C3F1B" w:rsidRDefault="002D21D9" w:rsidP="002D21D9">
            <w:pPr>
              <w:pStyle w:val="Outline4"/>
              <w:numPr>
                <w:ilvl w:val="0"/>
                <w:numId w:val="11"/>
              </w:numPr>
            </w:pPr>
            <w:r>
              <w:rPr>
                <w:i/>
              </w:rPr>
              <w:t>Full disclosure principle</w:t>
            </w:r>
            <w:r>
              <w:t>—prescribes reporting the details behind the financial statements that would impacts users’ decisions</w:t>
            </w:r>
            <w:r w:rsidR="00ED1841">
              <w:t>; often in footnotes to the statements.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98"/>
        </w:trPr>
        <w:tc>
          <w:tcPr>
            <w:tcW w:w="7200" w:type="dxa"/>
          </w:tcPr>
          <w:p w:rsidR="002D21D9" w:rsidRDefault="002D21D9" w:rsidP="002E66BA">
            <w:pPr>
              <w:pStyle w:val="Outline4"/>
              <w:ind w:left="1440" w:firstLine="0"/>
            </w:pPr>
            <w:r>
              <w:t>The four assumptions discussed in this chapter are:</w:t>
            </w:r>
          </w:p>
          <w:p w:rsidR="002D21D9" w:rsidRDefault="002D21D9" w:rsidP="002E66BA">
            <w:pPr>
              <w:pStyle w:val="Outline4"/>
            </w:pPr>
            <w:r>
              <w:t>a.</w:t>
            </w:r>
            <w:r>
              <w:tab/>
            </w:r>
            <w:r>
              <w:rPr>
                <w:i/>
              </w:rPr>
              <w:t>Going-concern assumption</w:t>
            </w:r>
            <w:r>
              <w:t>—accounting information reflects the assumption that the business will continue operating instead of being closed or sold.</w:t>
            </w:r>
          </w:p>
          <w:p w:rsidR="002D21D9" w:rsidRDefault="002D21D9" w:rsidP="002E66BA">
            <w:pPr>
              <w:pStyle w:val="Outline4"/>
            </w:pPr>
            <w:r>
              <w:t>b.</w:t>
            </w:r>
            <w:r>
              <w:tab/>
            </w:r>
            <w:r>
              <w:rPr>
                <w:i/>
              </w:rPr>
              <w:t>Monetary unit assumption</w:t>
            </w:r>
            <w:r>
              <w:t xml:space="preserve">—transactions and events are expressed in monetary, or money, units.  Generally this is the currency of the country in which it operates but today some companies express reports in more than one monetary unit. </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98"/>
        </w:trPr>
        <w:tc>
          <w:tcPr>
            <w:tcW w:w="7200" w:type="dxa"/>
          </w:tcPr>
          <w:p w:rsidR="002D21D9" w:rsidRPr="009C5BA2" w:rsidRDefault="002D21D9" w:rsidP="002E66BA">
            <w:pPr>
              <w:pStyle w:val="Outline4"/>
            </w:pPr>
            <w:r w:rsidRPr="009C5BA2">
              <w:t>c.</w:t>
            </w:r>
            <w:r w:rsidRPr="009C5BA2">
              <w:tab/>
            </w:r>
            <w:r w:rsidRPr="00C97107">
              <w:rPr>
                <w:i/>
              </w:rPr>
              <w:t>Time period assumption</w:t>
            </w:r>
            <w:r w:rsidRPr="009C5BA2">
              <w:t>—the life of the company can be divided into time periods, such as months and years, and that useful reports can be prepared for those periods.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98"/>
        </w:trPr>
        <w:tc>
          <w:tcPr>
            <w:tcW w:w="7200" w:type="dxa"/>
          </w:tcPr>
          <w:p w:rsidR="002D21D9" w:rsidRPr="009C5BA2" w:rsidRDefault="002D21D9" w:rsidP="002E66BA">
            <w:pPr>
              <w:pStyle w:val="Outline4"/>
            </w:pPr>
            <w:r>
              <w:t>d.</w:t>
            </w:r>
            <w:r w:rsidRPr="00801C3D">
              <w:rPr>
                <w:i/>
              </w:rPr>
              <w:tab/>
            </w:r>
            <w:r>
              <w:rPr>
                <w:i/>
              </w:rPr>
              <w:t>Business entity a</w:t>
            </w:r>
            <w:r w:rsidRPr="00801C3D">
              <w:rPr>
                <w:i/>
              </w:rPr>
              <w:t>ssumption</w:t>
            </w:r>
            <w:r>
              <w:t>—a business is accounted for separate from other business entities and separate from its owner.</w:t>
            </w:r>
            <w:r w:rsidR="00ED1841">
              <w:t xml:space="preserve"> Necessary for good decisions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98"/>
        </w:trPr>
        <w:tc>
          <w:tcPr>
            <w:tcW w:w="7200" w:type="dxa"/>
          </w:tcPr>
          <w:p w:rsidR="002D21D9" w:rsidRDefault="002D21D9" w:rsidP="002E66BA">
            <w:pPr>
              <w:pStyle w:val="Outline3"/>
            </w:pPr>
            <w:r>
              <w:t>4.</w:t>
            </w:r>
            <w:r>
              <w:tab/>
              <w:t>Business Entity Legal Forms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125"/>
        </w:trPr>
        <w:tc>
          <w:tcPr>
            <w:tcW w:w="7200" w:type="dxa"/>
          </w:tcPr>
          <w:p w:rsidR="002D21D9" w:rsidRDefault="002D21D9" w:rsidP="00E11AEF">
            <w:pPr>
              <w:pStyle w:val="Outline4"/>
              <w:numPr>
                <w:ilvl w:val="0"/>
                <w:numId w:val="27"/>
              </w:numPr>
            </w:pPr>
            <w:r>
              <w:rPr>
                <w:i/>
              </w:rPr>
              <w:t>Sole proprietorship</w:t>
            </w:r>
            <w:r>
              <w:t xml:space="preserve"> is a business owned by one person that has unlimited liability. </w:t>
            </w:r>
            <w:r w:rsidR="00ED1841">
              <w:t xml:space="preserve">It is a separate entity for accounting purposes. </w:t>
            </w:r>
            <w:r>
              <w:t>The business is not subject to an income tax but the owner is responsible for personal income tax on the net income of entity.</w:t>
            </w:r>
          </w:p>
          <w:p w:rsidR="00D700A4" w:rsidRDefault="00D700A4" w:rsidP="00E11AEF">
            <w:pPr>
              <w:pStyle w:val="Outline4"/>
              <w:ind w:firstLine="0"/>
            </w:pP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c>
          <w:tcPr>
            <w:tcW w:w="7200" w:type="dxa"/>
            <w:tcBorders>
              <w:right w:val="single" w:sz="4" w:space="0" w:color="auto"/>
            </w:tcBorders>
          </w:tcPr>
          <w:p w:rsidR="002D21D9" w:rsidRDefault="002D21D9" w:rsidP="002E66BA">
            <w:pPr>
              <w:pStyle w:val="Heading1"/>
            </w:pPr>
            <w:r>
              <w:br w:type="page"/>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rPr>
          <w:trHeight w:val="342"/>
        </w:trPr>
        <w:tc>
          <w:tcPr>
            <w:tcW w:w="7200" w:type="dxa"/>
          </w:tcPr>
          <w:p w:rsidR="00D700A4" w:rsidRDefault="00D700A4" w:rsidP="002E66BA">
            <w:pPr>
              <w:pStyle w:val="Outline4"/>
            </w:pPr>
            <w:r>
              <w:t>b.</w:t>
            </w:r>
            <w:r>
              <w:tab/>
            </w:r>
            <w:r>
              <w:rPr>
                <w:i/>
              </w:rPr>
              <w:t xml:space="preserve">Partnership </w:t>
            </w:r>
            <w:r>
              <w:t>is a business owned by two or more people, called partners, who are</w:t>
            </w:r>
            <w:r>
              <w:rPr>
                <w:i/>
              </w:rPr>
              <w:t xml:space="preserve"> </w:t>
            </w:r>
            <w:r>
              <w:t xml:space="preserve">subject to unlimited liability. The </w:t>
            </w:r>
            <w:r>
              <w:lastRenderedPageBreak/>
              <w:t>business is not subject to an income tax, but the owners are responsible for personal income tax on their individual share of the net income of entity.</w:t>
            </w:r>
          </w:p>
          <w:p w:rsidR="002D21D9" w:rsidRDefault="002D21D9" w:rsidP="002E66BA">
            <w:pPr>
              <w:pStyle w:val="Outline4"/>
            </w:pPr>
            <w:r>
              <w:t>c.</w:t>
            </w:r>
            <w:r>
              <w:tab/>
              <w:t>Three special partnership forms that limit liability</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350"/>
        </w:trPr>
        <w:tc>
          <w:tcPr>
            <w:tcW w:w="7200" w:type="dxa"/>
          </w:tcPr>
          <w:p w:rsidR="002D21D9" w:rsidRDefault="002D21D9" w:rsidP="002D21D9">
            <w:pPr>
              <w:pStyle w:val="Outline5"/>
              <w:numPr>
                <w:ilvl w:val="0"/>
                <w:numId w:val="13"/>
              </w:numPr>
              <w:tabs>
                <w:tab w:val="clear" w:pos="2520"/>
                <w:tab w:val="left" w:pos="2070"/>
              </w:tabs>
              <w:ind w:left="2070" w:hanging="270"/>
            </w:pPr>
            <w:r>
              <w:lastRenderedPageBreak/>
              <w:t>Limited partnership (LP)—has a general partner(s) with unlimited liability and a limited partner(s) with limited liability restricted to the amount invested.</w:t>
            </w:r>
          </w:p>
          <w:p w:rsidR="002D21D9" w:rsidRDefault="002D21D9" w:rsidP="002D21D9">
            <w:pPr>
              <w:pStyle w:val="Outline5"/>
              <w:numPr>
                <w:ilvl w:val="0"/>
                <w:numId w:val="13"/>
              </w:numPr>
              <w:tabs>
                <w:tab w:val="clear" w:pos="1800"/>
                <w:tab w:val="clear" w:pos="2520"/>
                <w:tab w:val="left" w:pos="2070"/>
              </w:tabs>
              <w:ind w:left="2070" w:hanging="270"/>
            </w:pPr>
            <w:r>
              <w:t>Limited liability partnership (LLP)—restricts partner’s liabilities to their own acts and the acts of individuals under their control.</w:t>
            </w:r>
          </w:p>
          <w:p w:rsidR="002D21D9" w:rsidRDefault="002D21D9" w:rsidP="002D21D9">
            <w:pPr>
              <w:pStyle w:val="Outline5"/>
              <w:numPr>
                <w:ilvl w:val="0"/>
                <w:numId w:val="13"/>
              </w:numPr>
              <w:ind w:left="2070" w:hanging="270"/>
            </w:pPr>
            <w:r>
              <w:t xml:space="preserve">Limited liability company (LLC)—offers the limited liability of a corporation and the tax treatment of a partnership.(Note: most proprietorships and partnerships are now </w:t>
            </w:r>
            <w:r w:rsidR="00ED1841">
              <w:t xml:space="preserve">organized as </w:t>
            </w:r>
            <w:r>
              <w:t>LLC)</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rPr>
          <w:trHeight w:val="1350"/>
        </w:trPr>
        <w:tc>
          <w:tcPr>
            <w:tcW w:w="7200" w:type="dxa"/>
          </w:tcPr>
          <w:p w:rsidR="002D21D9" w:rsidRPr="005C1AEF" w:rsidRDefault="002D21D9" w:rsidP="00E11AEF">
            <w:pPr>
              <w:pStyle w:val="Outline4"/>
              <w:numPr>
                <w:ilvl w:val="0"/>
                <w:numId w:val="26"/>
              </w:numPr>
            </w:pPr>
            <w:r>
              <w:rPr>
                <w:i/>
              </w:rPr>
              <w:t>Corporation</w:t>
            </w:r>
            <w:r>
              <w:t xml:space="preserve"> is a business that is a separate legal entity whose owners are called shareholders or stockholders. These owners have limited liability. The entity is responsible for a business income tax and the owners are responsible for personal income tax on profits that are distributed to them in the form of dividends.</w:t>
            </w:r>
          </w:p>
        </w:tc>
        <w:tc>
          <w:tcPr>
            <w:tcW w:w="2358" w:type="dxa"/>
          </w:tcPr>
          <w:p w:rsidR="002D21D9" w:rsidRDefault="002D21D9" w:rsidP="002E66BA">
            <w:pPr>
              <w:pStyle w:val="Outline1"/>
              <w:tabs>
                <w:tab w:val="left" w:pos="5670"/>
              </w:tabs>
              <w:ind w:left="0" w:right="2160" w:firstLine="0"/>
              <w:jc w:val="right"/>
              <w:rPr>
                <w:b/>
                <w:sz w:val="20"/>
              </w:rPr>
            </w:pPr>
          </w:p>
        </w:tc>
      </w:tr>
      <w:tr w:rsidR="002D21D9" w:rsidTr="002E66BA">
        <w:tc>
          <w:tcPr>
            <w:tcW w:w="7200" w:type="dxa"/>
          </w:tcPr>
          <w:p w:rsidR="002D21D9" w:rsidRDefault="002D21D9" w:rsidP="002D21D9">
            <w:pPr>
              <w:pStyle w:val="Outline3"/>
              <w:numPr>
                <w:ilvl w:val="0"/>
                <w:numId w:val="18"/>
              </w:numPr>
            </w:pPr>
            <w:r>
              <w:t xml:space="preserve">Accounting Constraints There are two basic constraints on financial reporting. </w:t>
            </w:r>
          </w:p>
        </w:tc>
        <w:tc>
          <w:tcPr>
            <w:tcW w:w="2358" w:type="dxa"/>
          </w:tcPr>
          <w:p w:rsidR="002D21D9" w:rsidRDefault="002D21D9" w:rsidP="002E66BA">
            <w:pPr>
              <w:pStyle w:val="Outline1"/>
              <w:rPr>
                <w:b/>
                <w:bCs/>
              </w:rPr>
            </w:pPr>
          </w:p>
        </w:tc>
      </w:tr>
      <w:tr w:rsidR="002D21D9" w:rsidTr="002E66BA">
        <w:tc>
          <w:tcPr>
            <w:tcW w:w="7200" w:type="dxa"/>
          </w:tcPr>
          <w:p w:rsidR="002D21D9" w:rsidRDefault="002D21D9" w:rsidP="002D21D9">
            <w:pPr>
              <w:pStyle w:val="Outline4"/>
              <w:numPr>
                <w:ilvl w:val="0"/>
                <w:numId w:val="14"/>
              </w:numPr>
            </w:pPr>
            <w:r>
              <w:t xml:space="preserve">The </w:t>
            </w:r>
            <w:r w:rsidRPr="00ED1841">
              <w:rPr>
                <w:i/>
              </w:rPr>
              <w:t>materiality</w:t>
            </w:r>
            <w:r>
              <w:t xml:space="preserve"> constraint </w:t>
            </w:r>
            <w:r w:rsidRPr="00DC44BE">
              <w:t>prescribes that only information that would influence the decisions of a reasonable person ne</w:t>
            </w:r>
            <w:r>
              <w:t>ed be disclosed. It</w:t>
            </w:r>
            <w:r w:rsidRPr="00DC44BE">
              <w:t xml:space="preserve"> looks at both the importance and relative size of</w:t>
            </w:r>
            <w:r>
              <w:t xml:space="preserve"> </w:t>
            </w:r>
            <w:r w:rsidRPr="00DC44BE">
              <w:t xml:space="preserve">an amount. </w:t>
            </w:r>
          </w:p>
          <w:p w:rsidR="002D21D9" w:rsidRDefault="002D21D9" w:rsidP="002D21D9">
            <w:pPr>
              <w:pStyle w:val="Outline4"/>
              <w:numPr>
                <w:ilvl w:val="0"/>
                <w:numId w:val="14"/>
              </w:numPr>
            </w:pPr>
            <w:r w:rsidRPr="00DC44BE">
              <w:t xml:space="preserve">The </w:t>
            </w:r>
            <w:r w:rsidRPr="00ED1841">
              <w:rPr>
                <w:i/>
              </w:rPr>
              <w:t>cost-benefit</w:t>
            </w:r>
            <w:r>
              <w:t xml:space="preserve"> constraint </w:t>
            </w:r>
            <w:r w:rsidRPr="00DC44BE">
              <w:t>prescribes that only information with benefits of disclosure</w:t>
            </w:r>
            <w:r>
              <w:t xml:space="preserve"> </w:t>
            </w:r>
            <w:r w:rsidRPr="00DC44BE">
              <w:t>greater than the costs of providing it need be disclosed.</w:t>
            </w:r>
          </w:p>
          <w:p w:rsidR="002D21D9" w:rsidRDefault="002D21D9" w:rsidP="002D21D9">
            <w:pPr>
              <w:pStyle w:val="Outline4"/>
              <w:numPr>
                <w:ilvl w:val="0"/>
                <w:numId w:val="14"/>
              </w:numPr>
            </w:pPr>
            <w:r w:rsidRPr="00ED1841">
              <w:rPr>
                <w:i/>
              </w:rPr>
              <w:t>Conservatism</w:t>
            </w:r>
            <w:r>
              <w:t xml:space="preserve"> and </w:t>
            </w:r>
            <w:r w:rsidRPr="00ED1841">
              <w:rPr>
                <w:i/>
              </w:rPr>
              <w:t>industry practices</w:t>
            </w:r>
            <w:r>
              <w:t xml:space="preserve"> are sometimes referred to as constraints as well.</w:t>
            </w:r>
          </w:p>
        </w:tc>
        <w:tc>
          <w:tcPr>
            <w:tcW w:w="2358" w:type="dxa"/>
          </w:tcPr>
          <w:p w:rsidR="002D21D9" w:rsidRDefault="002D21D9" w:rsidP="002E66BA">
            <w:pPr>
              <w:pStyle w:val="Outline1"/>
              <w:rPr>
                <w:b/>
                <w:bCs/>
              </w:rPr>
            </w:pPr>
          </w:p>
        </w:tc>
      </w:tr>
      <w:tr w:rsidR="002D21D9" w:rsidTr="002E66BA">
        <w:tc>
          <w:tcPr>
            <w:tcW w:w="7200" w:type="dxa"/>
          </w:tcPr>
          <w:p w:rsidR="002D21D9" w:rsidRDefault="002D21D9" w:rsidP="002E66BA">
            <w:pPr>
              <w:pStyle w:val="Outline3"/>
            </w:pPr>
            <w:r>
              <w:t>6.</w:t>
            </w:r>
            <w:r>
              <w:tab/>
              <w:t>Sarbanes-Oxley (SOX)—Law passed by congress that requires public companies to apply both accounting oversight and stringent internal controls to achieve more transparency, accountability and truthfulness in reporting.</w:t>
            </w:r>
          </w:p>
          <w:p w:rsidR="002D21D9" w:rsidRDefault="002D21D9" w:rsidP="002E66BA">
            <w:pPr>
              <w:pStyle w:val="Outline3"/>
              <w:rPr>
                <w:b/>
                <w:bCs/>
              </w:rPr>
            </w:pPr>
            <w:r>
              <w:t xml:space="preserve">7. </w:t>
            </w:r>
            <w:r>
              <w:tab/>
              <w:t>Dodd-Frank (Wall Street Reform and Consumer Protection Act)—Law recently passed as a response to financial systems near collapse. Details of the law are yet to be set forth by regulators.</w:t>
            </w:r>
          </w:p>
        </w:tc>
        <w:tc>
          <w:tcPr>
            <w:tcW w:w="2358" w:type="dxa"/>
          </w:tcPr>
          <w:p w:rsidR="002D21D9" w:rsidRDefault="002D21D9" w:rsidP="002E66BA">
            <w:pPr>
              <w:pStyle w:val="Outline1"/>
              <w:rPr>
                <w:b/>
                <w:bCs/>
              </w:rPr>
            </w:pPr>
          </w:p>
        </w:tc>
      </w:tr>
      <w:tr w:rsidR="002D21D9" w:rsidTr="002E66BA">
        <w:tc>
          <w:tcPr>
            <w:tcW w:w="7200" w:type="dxa"/>
          </w:tcPr>
          <w:p w:rsidR="002D21D9" w:rsidRDefault="002D21D9">
            <w:pPr>
              <w:pStyle w:val="Outline1"/>
              <w:rPr>
                <w:bCs/>
              </w:rPr>
            </w:pPr>
            <w:r>
              <w:rPr>
                <w:b/>
                <w:bCs/>
              </w:rPr>
              <w:t>III.</w:t>
            </w:r>
            <w:r>
              <w:rPr>
                <w:b/>
                <w:bCs/>
              </w:rPr>
              <w:tab/>
            </w:r>
            <w:r w:rsidR="0017736A">
              <w:rPr>
                <w:b/>
                <w:bCs/>
              </w:rPr>
              <w:t>Business T</w:t>
            </w:r>
            <w:r>
              <w:rPr>
                <w:b/>
                <w:bCs/>
              </w:rPr>
              <w:t xml:space="preserve">ransactions and Accounting </w:t>
            </w:r>
          </w:p>
        </w:tc>
        <w:tc>
          <w:tcPr>
            <w:tcW w:w="2358" w:type="dxa"/>
          </w:tcPr>
          <w:p w:rsidR="002D21D9" w:rsidRDefault="002D21D9" w:rsidP="002E66BA">
            <w:pPr>
              <w:pStyle w:val="Outline1"/>
              <w:rPr>
                <w:b/>
                <w:bCs/>
              </w:rPr>
            </w:pPr>
          </w:p>
        </w:tc>
      </w:tr>
      <w:tr w:rsidR="002D21D9" w:rsidTr="002E66BA">
        <w:tc>
          <w:tcPr>
            <w:tcW w:w="7200" w:type="dxa"/>
          </w:tcPr>
          <w:p w:rsidR="002D21D9" w:rsidRDefault="002D21D9" w:rsidP="002E66BA">
            <w:pPr>
              <w:pStyle w:val="Outline2"/>
            </w:pPr>
            <w:r>
              <w:t>A.</w:t>
            </w:r>
            <w:r>
              <w:tab/>
              <w:t>Accounting equation (Assets = Liabilities + Equity)—elements of the equation include:</w:t>
            </w:r>
          </w:p>
        </w:tc>
        <w:tc>
          <w:tcPr>
            <w:tcW w:w="2358" w:type="dxa"/>
          </w:tcPr>
          <w:p w:rsidR="002D21D9" w:rsidRDefault="002D21D9" w:rsidP="002E66BA">
            <w:pPr>
              <w:pStyle w:val="Outline2"/>
              <w:rPr>
                <w:b/>
                <w:sz w:val="20"/>
              </w:rPr>
            </w:pPr>
          </w:p>
        </w:tc>
      </w:tr>
      <w:tr w:rsidR="002D21D9" w:rsidTr="002E66BA">
        <w:tc>
          <w:tcPr>
            <w:tcW w:w="7200" w:type="dxa"/>
          </w:tcPr>
          <w:p w:rsidR="002D21D9" w:rsidRDefault="002D21D9">
            <w:pPr>
              <w:pStyle w:val="Outline3"/>
              <w:numPr>
                <w:ilvl w:val="0"/>
                <w:numId w:val="8"/>
              </w:numPr>
            </w:pPr>
            <w:r>
              <w:t>Assets—</w:t>
            </w:r>
            <w:r w:rsidRPr="004F0745">
              <w:t>resources a company owns or controls</w:t>
            </w:r>
            <w:r>
              <w:t xml:space="preserve"> that are </w:t>
            </w:r>
          </w:p>
        </w:tc>
        <w:tc>
          <w:tcPr>
            <w:tcW w:w="2358" w:type="dxa"/>
          </w:tcPr>
          <w:p w:rsidR="002D21D9" w:rsidRDefault="002D21D9" w:rsidP="002E66BA">
            <w:pPr>
              <w:pStyle w:val="Outline3"/>
              <w:rPr>
                <w:b/>
                <w:sz w:val="20"/>
              </w:rPr>
            </w:pPr>
          </w:p>
        </w:tc>
      </w:tr>
      <w:tr w:rsidR="002D21D9" w:rsidTr="002E66BA">
        <w:tc>
          <w:tcPr>
            <w:tcW w:w="7200" w:type="dxa"/>
            <w:tcBorders>
              <w:right w:val="single" w:sz="4" w:space="0" w:color="auto"/>
            </w:tcBorders>
          </w:tcPr>
          <w:p w:rsidR="002D21D9" w:rsidRDefault="002D21D9" w:rsidP="002E66BA">
            <w:pPr>
              <w:pStyle w:val="Heading1"/>
            </w:pPr>
            <w:r>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c>
          <w:tcPr>
            <w:tcW w:w="7200" w:type="dxa"/>
          </w:tcPr>
          <w:p w:rsidR="00D700A4" w:rsidRDefault="00D700A4" w:rsidP="00E11AEF">
            <w:pPr>
              <w:pStyle w:val="Outline3"/>
              <w:tabs>
                <w:tab w:val="clear" w:pos="1440"/>
              </w:tabs>
              <w:ind w:firstLine="0"/>
            </w:pPr>
            <w:proofErr w:type="gramStart"/>
            <w:r>
              <w:t>expected</w:t>
            </w:r>
            <w:proofErr w:type="gramEnd"/>
            <w:r>
              <w:t xml:space="preserve"> to carry future benefits</w:t>
            </w:r>
            <w:r w:rsidRPr="004F0745">
              <w:t>. (i.e. cash, supplies, equipment and land)</w:t>
            </w:r>
          </w:p>
          <w:p w:rsidR="00D700A4" w:rsidRDefault="00D700A4" w:rsidP="00D700A4">
            <w:pPr>
              <w:pStyle w:val="Outline2"/>
              <w:tabs>
                <w:tab w:val="clear" w:pos="1080"/>
                <w:tab w:val="left" w:pos="1260"/>
              </w:tabs>
              <w:ind w:left="1350" w:hanging="270"/>
            </w:pPr>
            <w:r>
              <w:lastRenderedPageBreak/>
              <w:t>2.   Liabilities—creditors’ claims on assets.  These claims reflect obligations to transfer assets or provide products or services to others.</w:t>
            </w:r>
          </w:p>
          <w:p w:rsidR="002D21D9" w:rsidRPr="002673DA" w:rsidRDefault="002D21D9">
            <w:pPr>
              <w:pStyle w:val="Outline2"/>
              <w:tabs>
                <w:tab w:val="clear" w:pos="1080"/>
                <w:tab w:val="left" w:pos="1260"/>
              </w:tabs>
              <w:ind w:left="1350" w:hanging="270"/>
            </w:pPr>
            <w:r>
              <w:t xml:space="preserve">3. </w:t>
            </w:r>
            <w:r>
              <w:tab/>
              <w:t>Equity—owner’s claim on assets; assets minus liabilit</w:t>
            </w:r>
            <w:r w:rsidR="00656F73">
              <w:t>i</w:t>
            </w:r>
            <w:r>
              <w:t xml:space="preserve">es.  Also called </w:t>
            </w:r>
            <w:r>
              <w:rPr>
                <w:i/>
              </w:rPr>
              <w:t>net assets</w:t>
            </w:r>
            <w:r>
              <w:t xml:space="preserve"> or </w:t>
            </w:r>
            <w:r>
              <w:rPr>
                <w:i/>
              </w:rPr>
              <w:t>residual equity.</w:t>
            </w:r>
            <w:r w:rsidR="002673DA">
              <w:t xml:space="preserve">  Changes in Equity—result from </w:t>
            </w:r>
            <w:r w:rsidR="00950C0E">
              <w:t>common stock</w:t>
            </w:r>
            <w:r w:rsidR="002673DA">
              <w:t xml:space="preserve">, revenues, </w:t>
            </w:r>
            <w:r w:rsidR="00950C0E">
              <w:t>dividends</w:t>
            </w:r>
            <w:r w:rsidR="002673DA">
              <w:t>,</w:t>
            </w:r>
            <w:r w:rsidR="00950C0E">
              <w:t xml:space="preserve"> and</w:t>
            </w:r>
            <w:r w:rsidR="002673DA">
              <w:t xml:space="preserve"> expenses.</w:t>
            </w:r>
          </w:p>
        </w:tc>
        <w:tc>
          <w:tcPr>
            <w:tcW w:w="2358" w:type="dxa"/>
          </w:tcPr>
          <w:p w:rsidR="002D21D9" w:rsidRDefault="002D21D9" w:rsidP="002E66BA">
            <w:pPr>
              <w:pStyle w:val="Outline3"/>
              <w:rPr>
                <w:b/>
                <w:sz w:val="20"/>
              </w:rPr>
            </w:pPr>
          </w:p>
        </w:tc>
      </w:tr>
      <w:tr w:rsidR="002D21D9" w:rsidTr="002E66BA">
        <w:tc>
          <w:tcPr>
            <w:tcW w:w="7200" w:type="dxa"/>
          </w:tcPr>
          <w:p w:rsidR="002D21D9" w:rsidRDefault="00BE693C" w:rsidP="00E11AEF">
            <w:pPr>
              <w:pStyle w:val="Outline3"/>
              <w:numPr>
                <w:ilvl w:val="0"/>
                <w:numId w:val="15"/>
              </w:numPr>
              <w:tabs>
                <w:tab w:val="clear" w:pos="1800"/>
                <w:tab w:val="left" w:pos="1710"/>
              </w:tabs>
              <w:ind w:left="1710"/>
            </w:pPr>
            <w:r>
              <w:lastRenderedPageBreak/>
              <w:t>Common</w:t>
            </w:r>
            <w:r w:rsidR="00950C0E">
              <w:t xml:space="preserve"> stock </w:t>
            </w:r>
            <w:r w:rsidR="002D21D9">
              <w:t>—</w:t>
            </w:r>
            <w:r>
              <w:t xml:space="preserve">part of contributed capital, reflects inflows of resources such as cash and other </w:t>
            </w:r>
            <w:r w:rsidR="002D21D9">
              <w:t xml:space="preserve">assets </w:t>
            </w:r>
            <w:r>
              <w:t xml:space="preserve">from stockholders in </w:t>
            </w:r>
            <w:r w:rsidR="00950C0E">
              <w:t xml:space="preserve">exchange for </w:t>
            </w:r>
            <w:r>
              <w:t xml:space="preserve">stock and </w:t>
            </w:r>
            <w:r w:rsidR="002D21D9">
              <w:t xml:space="preserve">results in an increase in equity. </w:t>
            </w:r>
          </w:p>
          <w:p w:rsidR="002D21D9" w:rsidRDefault="002D21D9" w:rsidP="00E11AEF">
            <w:pPr>
              <w:pStyle w:val="Outline3"/>
              <w:numPr>
                <w:ilvl w:val="0"/>
                <w:numId w:val="15"/>
              </w:numPr>
              <w:tabs>
                <w:tab w:val="clear" w:pos="1440"/>
                <w:tab w:val="left" w:pos="1710"/>
              </w:tabs>
              <w:ind w:left="1710"/>
            </w:pPr>
            <w:r>
              <w:t>Revenues—</w:t>
            </w:r>
            <w:r w:rsidR="00C62D96">
              <w:t>increase equity from</w:t>
            </w:r>
            <w:r w:rsidRPr="008B7820">
              <w:t xml:space="preserve"> sales of products </w:t>
            </w:r>
            <w:r w:rsidR="00C62D96">
              <w:t>and</w:t>
            </w:r>
            <w:r w:rsidR="00C62D96" w:rsidRPr="008B7820">
              <w:t xml:space="preserve"> </w:t>
            </w:r>
            <w:r w:rsidRPr="008B7820">
              <w:t>services to customers. Revenues increase equity (via net income) and result from a company’s earnings activities</w:t>
            </w:r>
            <w:r>
              <w:t>.</w:t>
            </w:r>
          </w:p>
        </w:tc>
        <w:tc>
          <w:tcPr>
            <w:tcW w:w="2358" w:type="dxa"/>
          </w:tcPr>
          <w:p w:rsidR="002D21D9" w:rsidRDefault="002D21D9" w:rsidP="002E66BA">
            <w:pPr>
              <w:pStyle w:val="Outline3"/>
              <w:rPr>
                <w:b/>
                <w:sz w:val="20"/>
              </w:rPr>
            </w:pPr>
          </w:p>
        </w:tc>
      </w:tr>
      <w:tr w:rsidR="002D21D9" w:rsidTr="002E66BA">
        <w:tc>
          <w:tcPr>
            <w:tcW w:w="7200" w:type="dxa"/>
          </w:tcPr>
          <w:p w:rsidR="002D21D9" w:rsidRPr="008B7820" w:rsidRDefault="00950C0E" w:rsidP="00E11AEF">
            <w:pPr>
              <w:pStyle w:val="Outline3"/>
              <w:numPr>
                <w:ilvl w:val="0"/>
                <w:numId w:val="15"/>
              </w:numPr>
              <w:tabs>
                <w:tab w:val="clear" w:pos="1440"/>
                <w:tab w:val="left" w:pos="1710"/>
              </w:tabs>
              <w:ind w:left="1710"/>
            </w:pPr>
            <w:r>
              <w:t>Dividends</w:t>
            </w:r>
            <w:r w:rsidR="002D21D9" w:rsidRPr="008B7820">
              <w:t>—</w:t>
            </w:r>
            <w:r>
              <w:t xml:space="preserve">outflow of resources, such as cash and other assets, to stockholders. Dividends </w:t>
            </w:r>
            <w:r w:rsidR="002D21D9" w:rsidRPr="008B7820">
              <w:t>decrease equity.</w:t>
            </w:r>
          </w:p>
          <w:p w:rsidR="002D21D9" w:rsidRDefault="003B0919" w:rsidP="00E11AEF">
            <w:pPr>
              <w:pStyle w:val="Outline3"/>
              <w:numPr>
                <w:ilvl w:val="0"/>
                <w:numId w:val="15"/>
              </w:numPr>
              <w:tabs>
                <w:tab w:val="clear" w:pos="1440"/>
                <w:tab w:val="left" w:pos="1530"/>
              </w:tabs>
              <w:ind w:left="1710"/>
            </w:pPr>
            <w:r>
              <w:t xml:space="preserve">   </w:t>
            </w:r>
            <w:r w:rsidR="002D21D9" w:rsidRPr="008B7820">
              <w:t xml:space="preserve">Expenses—cost of assets or services used to earn revenues </w:t>
            </w:r>
            <w:r w:rsidR="00D700A4">
              <w:t>R</w:t>
            </w:r>
            <w:r w:rsidR="002D21D9" w:rsidRPr="008B7820">
              <w:t>esults in decrease in equity.</w:t>
            </w:r>
          </w:p>
        </w:tc>
        <w:tc>
          <w:tcPr>
            <w:tcW w:w="2358" w:type="dxa"/>
          </w:tcPr>
          <w:p w:rsidR="002D21D9" w:rsidRDefault="002D21D9" w:rsidP="002E66BA">
            <w:pPr>
              <w:pStyle w:val="Outline2"/>
              <w:rPr>
                <w:b/>
                <w:sz w:val="20"/>
              </w:rPr>
            </w:pPr>
          </w:p>
        </w:tc>
      </w:tr>
      <w:tr w:rsidR="002D21D9" w:rsidTr="00FD4E0E">
        <w:tc>
          <w:tcPr>
            <w:tcW w:w="7200" w:type="dxa"/>
            <w:tcBorders>
              <w:bottom w:val="nil"/>
            </w:tcBorders>
          </w:tcPr>
          <w:p w:rsidR="002D21D9" w:rsidRDefault="002D21D9" w:rsidP="002673DA">
            <w:pPr>
              <w:pStyle w:val="Outline2"/>
              <w:numPr>
                <w:ilvl w:val="0"/>
                <w:numId w:val="21"/>
              </w:numPr>
            </w:pPr>
            <w:r>
              <w:t xml:space="preserve">Expanded Accounting Equation:  </w:t>
            </w:r>
          </w:p>
          <w:p w:rsidR="002D21D9" w:rsidRDefault="002D21D9">
            <w:pPr>
              <w:pStyle w:val="Outline2"/>
              <w:tabs>
                <w:tab w:val="clear" w:pos="720"/>
              </w:tabs>
            </w:pPr>
            <w:r>
              <w:tab/>
              <w:t xml:space="preserve">Assets = Liabilities + </w:t>
            </w:r>
            <w:r w:rsidR="00467C9B">
              <w:t>Common Stock</w:t>
            </w:r>
            <w:r>
              <w:t xml:space="preserve"> – </w:t>
            </w:r>
            <w:r w:rsidR="00467C9B">
              <w:t>Dividends</w:t>
            </w:r>
            <w:r>
              <w:t xml:space="preserve"> + Revenues – Expenses</w:t>
            </w:r>
            <w:r w:rsidR="00D700A4">
              <w:t xml:space="preserve">.  Net income occurs when revenues exceed revenues.  Net income increases equity.  Net loss occurs when expenses exceed </w:t>
            </w:r>
            <w:proofErr w:type="gramStart"/>
            <w:r w:rsidR="00D700A4">
              <w:t>revenues which decreases</w:t>
            </w:r>
            <w:proofErr w:type="gramEnd"/>
            <w:r w:rsidR="00D700A4">
              <w:t xml:space="preserve"> equity.</w:t>
            </w:r>
          </w:p>
        </w:tc>
        <w:tc>
          <w:tcPr>
            <w:tcW w:w="2358" w:type="dxa"/>
          </w:tcPr>
          <w:p w:rsidR="002D21D9" w:rsidRDefault="002D21D9" w:rsidP="002E66BA">
            <w:pPr>
              <w:pStyle w:val="Outline2"/>
              <w:rPr>
                <w:b/>
                <w:sz w:val="20"/>
              </w:rPr>
            </w:pPr>
          </w:p>
        </w:tc>
      </w:tr>
      <w:tr w:rsidR="002D21D9" w:rsidTr="00FD4E0E">
        <w:tblPrEx>
          <w:tblBorders>
            <w:insideV w:val="none" w:sz="0" w:space="0" w:color="auto"/>
          </w:tblBorders>
        </w:tblPrEx>
        <w:tc>
          <w:tcPr>
            <w:tcW w:w="7200" w:type="dxa"/>
            <w:tcBorders>
              <w:right w:val="single" w:sz="4" w:space="0" w:color="auto"/>
            </w:tcBorders>
          </w:tcPr>
          <w:p w:rsidR="002D21D9" w:rsidRDefault="002D21D9" w:rsidP="002673DA">
            <w:pPr>
              <w:pStyle w:val="Outline2"/>
              <w:numPr>
                <w:ilvl w:val="0"/>
                <w:numId w:val="21"/>
              </w:numPr>
            </w:pPr>
            <w:r>
              <w:t>Transaction Analysis—each transaction and event always leaves the equation in balance. (Assets = Liabilities + Equity)</w:t>
            </w:r>
          </w:p>
        </w:tc>
        <w:tc>
          <w:tcPr>
            <w:tcW w:w="2358" w:type="dxa"/>
            <w:tcBorders>
              <w:left w:val="single" w:sz="4" w:space="0" w:color="auto"/>
            </w:tcBorders>
          </w:tcPr>
          <w:p w:rsidR="002D21D9" w:rsidRDefault="002D21D9" w:rsidP="002E66BA">
            <w:pPr>
              <w:pStyle w:val="Outline2"/>
              <w:rPr>
                <w:b/>
                <w:sz w:val="20"/>
              </w:rPr>
            </w:pPr>
          </w:p>
        </w:tc>
      </w:tr>
      <w:tr w:rsidR="002D21D9" w:rsidTr="002E66BA">
        <w:tc>
          <w:tcPr>
            <w:tcW w:w="7200" w:type="dxa"/>
          </w:tcPr>
          <w:p w:rsidR="002673DA" w:rsidRDefault="002D21D9" w:rsidP="002673DA">
            <w:pPr>
              <w:pStyle w:val="Outline3"/>
              <w:numPr>
                <w:ilvl w:val="0"/>
                <w:numId w:val="22"/>
              </w:numPr>
            </w:pPr>
            <w:r>
              <w:t>Investment by owner</w:t>
            </w:r>
            <w:r w:rsidR="00B7727C">
              <w:t xml:space="preserve"> in exchange for common stock</w:t>
            </w:r>
            <w:r w:rsidR="002673DA">
              <w:t>:</w:t>
            </w:r>
          </w:p>
          <w:p w:rsidR="002D21D9" w:rsidRDefault="002673DA" w:rsidP="002673DA">
            <w:pPr>
              <w:pStyle w:val="Outline3"/>
              <w:ind w:firstLine="0"/>
            </w:pPr>
            <w:r>
              <w:t xml:space="preserve">ASSET      =      LIABILITIES   +    </w:t>
            </w:r>
            <w:r w:rsidR="009D3C87">
              <w:t xml:space="preserve">  EQUITY</w:t>
            </w:r>
            <w:r w:rsidR="002D21D9">
              <w:br/>
            </w:r>
            <w:r>
              <w:t xml:space="preserve">     </w:t>
            </w:r>
            <w:r w:rsidR="002D21D9" w:rsidRPr="00B462A8">
              <w:rPr>
                <w:b/>
              </w:rPr>
              <w:t>+</w:t>
            </w:r>
            <w:r w:rsidRPr="00B462A8">
              <w:rPr>
                <w:b/>
              </w:rPr>
              <w:t xml:space="preserve"> Cash                                        +</w:t>
            </w:r>
            <w:r w:rsidR="00B462A8" w:rsidRPr="00B462A8">
              <w:rPr>
                <w:b/>
              </w:rPr>
              <w:t xml:space="preserve"> </w:t>
            </w:r>
            <w:r w:rsidR="00B7727C">
              <w:rPr>
                <w:b/>
              </w:rPr>
              <w:t>Common Stock</w:t>
            </w:r>
            <w:r>
              <w:t xml:space="preserve">           </w:t>
            </w:r>
            <w:r w:rsidR="002D21D9">
              <w:br/>
            </w:r>
            <w:r w:rsidRPr="00B462A8">
              <w:rPr>
                <w:i/>
              </w:rPr>
              <w:t xml:space="preserve">                                                             reason:  investment                                                                      </w:t>
            </w:r>
            <w:r>
              <w:br/>
            </w:r>
            <w:r w:rsidR="002D21D9">
              <w:t>Increase on both sides of equation</w:t>
            </w:r>
            <w:r>
              <w:t>--</w:t>
            </w:r>
            <w:r w:rsidR="002D21D9">
              <w:t xml:space="preserve"> keeps equation in balance.</w:t>
            </w:r>
            <w:r w:rsidR="00D700A4">
              <w:br/>
            </w:r>
          </w:p>
          <w:p w:rsidR="002673DA" w:rsidRDefault="002D21D9" w:rsidP="002673DA">
            <w:pPr>
              <w:pStyle w:val="Outline3"/>
              <w:numPr>
                <w:ilvl w:val="0"/>
                <w:numId w:val="22"/>
              </w:numPr>
            </w:pPr>
            <w:r>
              <w:t>Purchase supplies for cash</w:t>
            </w:r>
            <w:r w:rsidR="002673DA">
              <w:t>:</w:t>
            </w:r>
            <w:r>
              <w:t xml:space="preserve"> </w:t>
            </w:r>
          </w:p>
          <w:p w:rsidR="002673DA" w:rsidRPr="00B462A8" w:rsidRDefault="002673DA" w:rsidP="002673DA">
            <w:pPr>
              <w:pStyle w:val="Outline3"/>
              <w:ind w:firstLine="0"/>
              <w:rPr>
                <w:b/>
              </w:rPr>
            </w:pPr>
            <w:r>
              <w:t>ASSET      =      LIABILITIES   +    EQUITY</w:t>
            </w:r>
            <w:r w:rsidR="002D21D9">
              <w:br/>
            </w:r>
            <w:r w:rsidR="002D21D9" w:rsidRPr="00B462A8">
              <w:rPr>
                <w:b/>
              </w:rPr>
              <w:t>+ Supplies</w:t>
            </w:r>
          </w:p>
          <w:p w:rsidR="002D21D9" w:rsidRDefault="00B462A8" w:rsidP="00B462A8">
            <w:pPr>
              <w:pStyle w:val="Outline3"/>
              <w:ind w:left="1500" w:firstLine="0"/>
            </w:pPr>
            <w:r w:rsidRPr="00B462A8">
              <w:rPr>
                <w:b/>
              </w:rPr>
              <w:t xml:space="preserve">- </w:t>
            </w:r>
            <w:r w:rsidR="002D21D9" w:rsidRPr="00B462A8">
              <w:rPr>
                <w:b/>
              </w:rPr>
              <w:t>Cash</w:t>
            </w:r>
            <w:r w:rsidR="002D21D9">
              <w:br/>
              <w:t>Increase and decrease on one side of the equation keeps the equation in balance.</w:t>
            </w:r>
          </w:p>
          <w:p w:rsidR="002673DA" w:rsidRDefault="002D21D9" w:rsidP="002673DA">
            <w:pPr>
              <w:pStyle w:val="Outline3"/>
              <w:numPr>
                <w:ilvl w:val="0"/>
                <w:numId w:val="22"/>
              </w:numPr>
            </w:pPr>
            <w:r>
              <w:t>Purchase equipment for cash</w:t>
            </w:r>
            <w:r w:rsidR="002673DA">
              <w:t>:</w:t>
            </w:r>
            <w:r>
              <w:t xml:space="preserve"> </w:t>
            </w:r>
          </w:p>
          <w:p w:rsidR="002673DA" w:rsidRPr="00B462A8" w:rsidRDefault="002673DA" w:rsidP="002673DA">
            <w:pPr>
              <w:pStyle w:val="Outline3"/>
              <w:ind w:firstLine="0"/>
              <w:rPr>
                <w:b/>
              </w:rPr>
            </w:pPr>
            <w:r>
              <w:t>ASSET      =      LIABILITIES   +    EQUITY</w:t>
            </w:r>
            <w:r>
              <w:br/>
            </w:r>
            <w:r w:rsidRPr="00B462A8">
              <w:rPr>
                <w:b/>
              </w:rPr>
              <w:t>+ Equipment</w:t>
            </w:r>
          </w:p>
          <w:p w:rsidR="002D21D9" w:rsidRDefault="002673DA" w:rsidP="00E11AEF">
            <w:pPr>
              <w:pStyle w:val="Outline3"/>
              <w:ind w:firstLine="0"/>
            </w:pPr>
            <w:r w:rsidRPr="00B462A8">
              <w:rPr>
                <w:b/>
              </w:rPr>
              <w:t xml:space="preserve"> –</w:t>
            </w:r>
            <w:r w:rsidR="00B462A8" w:rsidRPr="00B462A8">
              <w:rPr>
                <w:b/>
              </w:rPr>
              <w:t xml:space="preserve"> </w:t>
            </w:r>
            <w:r w:rsidRPr="00B462A8">
              <w:rPr>
                <w:b/>
              </w:rPr>
              <w:t>Cash</w:t>
            </w:r>
            <w:r>
              <w:br/>
              <w:t>Increase and decrease on one side of the equation keeps the equation in balance.</w:t>
            </w:r>
          </w:p>
        </w:tc>
        <w:tc>
          <w:tcPr>
            <w:tcW w:w="2358" w:type="dxa"/>
          </w:tcPr>
          <w:p w:rsidR="002D21D9" w:rsidRDefault="002D21D9" w:rsidP="002E66BA">
            <w:pPr>
              <w:pStyle w:val="Outline2"/>
              <w:rPr>
                <w:b/>
                <w:sz w:val="20"/>
              </w:rPr>
            </w:pPr>
          </w:p>
        </w:tc>
      </w:tr>
      <w:tr w:rsidR="002D21D9" w:rsidTr="002E66BA">
        <w:tc>
          <w:tcPr>
            <w:tcW w:w="7200" w:type="dxa"/>
            <w:tcBorders>
              <w:right w:val="single" w:sz="4" w:space="0" w:color="auto"/>
            </w:tcBorders>
          </w:tcPr>
          <w:p w:rsidR="002D21D9" w:rsidRDefault="002D21D9" w:rsidP="002E66BA">
            <w:pPr>
              <w:pStyle w:val="Heading1"/>
            </w:pPr>
            <w:r>
              <w:rPr>
                <w:b w:val="0"/>
              </w:rPr>
              <w:br w:type="page"/>
            </w:r>
            <w:r>
              <w:br w:type="page"/>
              <w:t>Chapter Outline</w:t>
            </w:r>
          </w:p>
        </w:tc>
        <w:tc>
          <w:tcPr>
            <w:tcW w:w="2358" w:type="dxa"/>
            <w:tcBorders>
              <w:left w:val="single" w:sz="4" w:space="0" w:color="auto"/>
            </w:tcBorders>
          </w:tcPr>
          <w:p w:rsidR="002D21D9" w:rsidRDefault="002D21D9" w:rsidP="002E66BA">
            <w:pPr>
              <w:pStyle w:val="Heading1"/>
              <w:jc w:val="center"/>
              <w:rPr>
                <w:rFonts w:ascii="Times New Roman" w:hAnsi="Times New Roman"/>
              </w:rPr>
            </w:pPr>
            <w:r>
              <w:t>Notes</w:t>
            </w:r>
          </w:p>
        </w:tc>
      </w:tr>
      <w:tr w:rsidR="002D21D9" w:rsidTr="002E66BA">
        <w:tc>
          <w:tcPr>
            <w:tcW w:w="7200" w:type="dxa"/>
          </w:tcPr>
          <w:p w:rsidR="00D700A4" w:rsidRDefault="00D700A4" w:rsidP="00E11AEF">
            <w:pPr>
              <w:pStyle w:val="Outline3"/>
              <w:numPr>
                <w:ilvl w:val="0"/>
                <w:numId w:val="22"/>
              </w:numPr>
            </w:pPr>
            <w:r>
              <w:t>Purchase supplies on credit:</w:t>
            </w:r>
          </w:p>
          <w:p w:rsidR="00D700A4" w:rsidRPr="00B462A8" w:rsidRDefault="00D700A4" w:rsidP="00D700A4">
            <w:pPr>
              <w:pStyle w:val="Outline3"/>
              <w:ind w:firstLine="0"/>
              <w:rPr>
                <w:b/>
              </w:rPr>
            </w:pPr>
            <w:r>
              <w:t>ASSET      =      LIABILITIES   +    EQUITY</w:t>
            </w:r>
            <w:r>
              <w:br/>
            </w:r>
            <w:r w:rsidRPr="00B462A8">
              <w:rPr>
                <w:b/>
              </w:rPr>
              <w:t>+ Supplies       +  Accounts Payable</w:t>
            </w:r>
          </w:p>
          <w:p w:rsidR="00D700A4" w:rsidRPr="00B462A8" w:rsidRDefault="00D700A4" w:rsidP="00D700A4">
            <w:pPr>
              <w:pStyle w:val="Outline3"/>
              <w:ind w:firstLine="0"/>
            </w:pPr>
            <w:r w:rsidRPr="00B462A8">
              <w:lastRenderedPageBreak/>
              <w:t>Increase on both sides of equation keeps equation in balance.</w:t>
            </w:r>
          </w:p>
          <w:p w:rsidR="00D700A4" w:rsidRDefault="00D700A4" w:rsidP="00E11AEF">
            <w:pPr>
              <w:pStyle w:val="Outline3"/>
              <w:ind w:firstLine="0"/>
            </w:pPr>
          </w:p>
          <w:p w:rsidR="004C44DB" w:rsidRDefault="004C44DB" w:rsidP="00E11AEF">
            <w:pPr>
              <w:pStyle w:val="Outline3"/>
              <w:numPr>
                <w:ilvl w:val="0"/>
                <w:numId w:val="22"/>
              </w:numPr>
            </w:pPr>
            <w:r>
              <w:t xml:space="preserve"> </w:t>
            </w:r>
            <w:r w:rsidRPr="00B462A8">
              <w:t>Provide services for cash:</w:t>
            </w:r>
            <w:r>
              <w:br/>
              <w:t xml:space="preserve"> ASSET      =      LIABILITIES   +    </w:t>
            </w:r>
            <w:r w:rsidR="008D1EB7">
              <w:t xml:space="preserve">  </w:t>
            </w:r>
            <w:r>
              <w:t>EQUITY</w:t>
            </w:r>
            <w:r>
              <w:br/>
            </w:r>
            <w:r w:rsidRPr="00B462A8">
              <w:rPr>
                <w:b/>
              </w:rPr>
              <w:t xml:space="preserve">+ </w:t>
            </w:r>
            <w:r>
              <w:rPr>
                <w:b/>
              </w:rPr>
              <w:t>Cash</w:t>
            </w:r>
            <w:r w:rsidRPr="00B462A8">
              <w:rPr>
                <w:b/>
              </w:rPr>
              <w:t xml:space="preserve">       </w:t>
            </w:r>
            <w:r>
              <w:rPr>
                <w:b/>
              </w:rPr>
              <w:t xml:space="preserve">                                       </w:t>
            </w:r>
            <w:r w:rsidRPr="00B462A8">
              <w:rPr>
                <w:b/>
              </w:rPr>
              <w:t xml:space="preserve">+ </w:t>
            </w:r>
            <w:r>
              <w:rPr>
                <w:b/>
              </w:rPr>
              <w:t>Revenue Earned</w:t>
            </w:r>
            <w:r>
              <w:t xml:space="preserve"> Increase on both sides of equation keeps equation in balance.</w:t>
            </w:r>
          </w:p>
          <w:p w:rsidR="004C44DB" w:rsidRPr="00B462A8" w:rsidRDefault="004C44DB" w:rsidP="004C44DB">
            <w:pPr>
              <w:pStyle w:val="Outline3"/>
              <w:ind w:left="1080" w:firstLine="0"/>
              <w:rPr>
                <w:b/>
              </w:rPr>
            </w:pPr>
          </w:p>
          <w:p w:rsidR="004C44DB" w:rsidRDefault="00F2555B">
            <w:pPr>
              <w:pStyle w:val="Outline3"/>
              <w:rPr>
                <w:b/>
              </w:rPr>
            </w:pPr>
            <w:r>
              <w:t xml:space="preserve">6,7.  </w:t>
            </w:r>
            <w:r w:rsidR="00B462A8">
              <w:t>Payment of expense</w:t>
            </w:r>
            <w:r>
              <w:t>s</w:t>
            </w:r>
            <w:r w:rsidR="00B462A8">
              <w:t xml:space="preserve"> in cash (salaries, rent etc.):</w:t>
            </w:r>
            <w:r w:rsidR="00B462A8">
              <w:br/>
              <w:t xml:space="preserve"> ASSET      =      LIABILITIES   +    </w:t>
            </w:r>
            <w:r w:rsidR="008D1EB7">
              <w:t xml:space="preserve">     </w:t>
            </w:r>
            <w:r w:rsidR="00B462A8">
              <w:t>EQUITY</w:t>
            </w:r>
            <w:r w:rsidR="00B462A8">
              <w:br/>
            </w:r>
            <w:r w:rsidR="00B462A8" w:rsidRPr="00B462A8">
              <w:rPr>
                <w:b/>
              </w:rPr>
              <w:t>- Cash                                                   - (+ Expense)</w:t>
            </w:r>
          </w:p>
          <w:p w:rsidR="00B462A8" w:rsidRDefault="00B462A8" w:rsidP="004C44DB">
            <w:pPr>
              <w:pStyle w:val="Outline3"/>
              <w:ind w:left="1800"/>
            </w:pPr>
            <w:r>
              <w:t>Decrease on both sides of equation keeps equation in balance.</w:t>
            </w:r>
          </w:p>
          <w:p w:rsidR="004C44DB" w:rsidRDefault="004C44DB" w:rsidP="00B462A8">
            <w:pPr>
              <w:pStyle w:val="Outline3"/>
            </w:pPr>
          </w:p>
          <w:p w:rsidR="00B462A8" w:rsidRDefault="00F2555B" w:rsidP="00B462A8">
            <w:pPr>
              <w:pStyle w:val="Outline3"/>
            </w:pPr>
            <w:r>
              <w:t>8</w:t>
            </w:r>
            <w:r w:rsidR="00B462A8">
              <w:t>.</w:t>
            </w:r>
            <w:r w:rsidR="00B462A8">
              <w:tab/>
              <w:t>Provided services and facilities for credit:</w:t>
            </w:r>
          </w:p>
          <w:p w:rsidR="00B462A8" w:rsidRDefault="00B462A8" w:rsidP="00B462A8">
            <w:pPr>
              <w:pStyle w:val="Outline3"/>
              <w:ind w:firstLine="0"/>
              <w:rPr>
                <w:b/>
              </w:rPr>
            </w:pPr>
            <w:r>
              <w:t xml:space="preserve"> ASSET      =      LIABILITIES   +    </w:t>
            </w:r>
            <w:r w:rsidR="008D1EB7">
              <w:t xml:space="preserve">         </w:t>
            </w:r>
            <w:r>
              <w:t>EQUITY</w:t>
            </w:r>
            <w:r>
              <w:br/>
            </w:r>
            <w:r w:rsidRPr="00B462A8">
              <w:rPr>
                <w:b/>
              </w:rPr>
              <w:t xml:space="preserve">+ </w:t>
            </w:r>
            <w:r>
              <w:rPr>
                <w:b/>
              </w:rPr>
              <w:t>Acct. Rec.</w:t>
            </w:r>
            <w:r w:rsidRPr="00B462A8">
              <w:rPr>
                <w:b/>
              </w:rPr>
              <w:t xml:space="preserve">     </w:t>
            </w:r>
            <w:r>
              <w:rPr>
                <w:b/>
              </w:rPr>
              <w:t xml:space="preserve">                                       </w:t>
            </w:r>
            <w:r w:rsidRPr="00B462A8">
              <w:rPr>
                <w:b/>
              </w:rPr>
              <w:t xml:space="preserve">+  </w:t>
            </w:r>
            <w:r>
              <w:rPr>
                <w:b/>
              </w:rPr>
              <w:t>Revenue Earned</w:t>
            </w:r>
          </w:p>
          <w:p w:rsidR="00B462A8" w:rsidRDefault="00B462A8" w:rsidP="00B462A8">
            <w:pPr>
              <w:pStyle w:val="Outline3"/>
              <w:ind w:left="1800"/>
            </w:pPr>
            <w:r>
              <w:t>Increase on both sides of equation keeps equation in balance.</w:t>
            </w:r>
          </w:p>
          <w:p w:rsidR="004C44DB" w:rsidRDefault="004C44DB" w:rsidP="00B462A8">
            <w:pPr>
              <w:pStyle w:val="Outline3"/>
              <w:ind w:left="1800"/>
            </w:pPr>
          </w:p>
          <w:p w:rsidR="00B462A8" w:rsidRDefault="00F2555B" w:rsidP="00B462A8">
            <w:pPr>
              <w:pStyle w:val="Outline3"/>
            </w:pPr>
            <w:r>
              <w:t>9</w:t>
            </w:r>
            <w:r w:rsidR="002D21D9">
              <w:t>.</w:t>
            </w:r>
            <w:r w:rsidR="002D21D9">
              <w:tab/>
              <w:t>Receipt of cash from account receivable</w:t>
            </w:r>
            <w:r w:rsidR="00B462A8">
              <w:t xml:space="preserve"> (customers paying on their accounts):</w:t>
            </w:r>
            <w:r w:rsidR="002D21D9">
              <w:t xml:space="preserve"> </w:t>
            </w:r>
          </w:p>
          <w:p w:rsidR="0004068C" w:rsidRDefault="00B462A8" w:rsidP="0004068C">
            <w:pPr>
              <w:pStyle w:val="Outline3"/>
              <w:ind w:left="1800"/>
            </w:pPr>
            <w:r>
              <w:t>ASSET      =      LIABILITIES   +    EQUITY</w:t>
            </w:r>
          </w:p>
          <w:p w:rsidR="0004068C" w:rsidRPr="0004068C" w:rsidRDefault="0004068C" w:rsidP="0004068C">
            <w:pPr>
              <w:pStyle w:val="Outline3"/>
              <w:ind w:left="1800"/>
              <w:rPr>
                <w:b/>
              </w:rPr>
            </w:pPr>
            <w:r w:rsidRPr="0004068C">
              <w:rPr>
                <w:b/>
              </w:rPr>
              <w:t>+ Cash</w:t>
            </w:r>
          </w:p>
          <w:p w:rsidR="0004068C" w:rsidRPr="0004068C" w:rsidRDefault="0004068C" w:rsidP="0004068C">
            <w:pPr>
              <w:pStyle w:val="Outline3"/>
              <w:ind w:left="1800"/>
              <w:rPr>
                <w:b/>
              </w:rPr>
            </w:pPr>
            <w:r w:rsidRPr="0004068C">
              <w:rPr>
                <w:b/>
              </w:rPr>
              <w:t>-</w:t>
            </w:r>
            <w:r w:rsidR="00B462A8" w:rsidRPr="0004068C">
              <w:rPr>
                <w:b/>
              </w:rPr>
              <w:t xml:space="preserve"> Acct. Rec</w:t>
            </w:r>
          </w:p>
          <w:p w:rsidR="002D21D9" w:rsidRDefault="0004068C" w:rsidP="0004068C">
            <w:pPr>
              <w:ind w:left="1440"/>
            </w:pPr>
            <w:r>
              <w:t>Increase and decrease on one side of the equation keeps the equation in balance.</w:t>
            </w:r>
          </w:p>
          <w:p w:rsidR="004C44DB" w:rsidRDefault="004C44DB" w:rsidP="0004068C">
            <w:pPr>
              <w:ind w:left="1440"/>
            </w:pPr>
          </w:p>
        </w:tc>
        <w:tc>
          <w:tcPr>
            <w:tcW w:w="2358" w:type="dxa"/>
          </w:tcPr>
          <w:p w:rsidR="002D21D9" w:rsidRDefault="002D21D9" w:rsidP="002E66BA">
            <w:pPr>
              <w:pStyle w:val="Outline2"/>
              <w:rPr>
                <w:b/>
                <w:sz w:val="20"/>
              </w:rPr>
            </w:pPr>
          </w:p>
        </w:tc>
      </w:tr>
      <w:tr w:rsidR="002D21D9" w:rsidTr="002E66BA">
        <w:tc>
          <w:tcPr>
            <w:tcW w:w="7200" w:type="dxa"/>
          </w:tcPr>
          <w:p w:rsidR="0004068C" w:rsidRDefault="00F2555B" w:rsidP="0004068C">
            <w:pPr>
              <w:pStyle w:val="Outline3"/>
            </w:pPr>
            <w:r>
              <w:lastRenderedPageBreak/>
              <w:t>10</w:t>
            </w:r>
            <w:r w:rsidR="002D21D9">
              <w:t>.</w:t>
            </w:r>
            <w:r w:rsidR="002D21D9">
              <w:tab/>
            </w:r>
            <w:r w:rsidR="002D21D9" w:rsidRPr="00C37720">
              <w:t>Payment of accounts payable</w:t>
            </w:r>
            <w:r w:rsidR="0004068C">
              <w:t>:</w:t>
            </w:r>
          </w:p>
          <w:p w:rsidR="0004068C" w:rsidRDefault="0004068C" w:rsidP="0004068C">
            <w:pPr>
              <w:pStyle w:val="Outline3"/>
              <w:ind w:left="1800"/>
            </w:pPr>
            <w:r>
              <w:t>ASSET      =      LIABILITIES   +    EQUITY</w:t>
            </w:r>
          </w:p>
          <w:p w:rsidR="0004068C" w:rsidRDefault="0004068C" w:rsidP="0004068C">
            <w:pPr>
              <w:pStyle w:val="Outline3"/>
              <w:ind w:left="1800"/>
              <w:rPr>
                <w:b/>
              </w:rPr>
            </w:pPr>
            <w:r>
              <w:rPr>
                <w:b/>
              </w:rPr>
              <w:t>- Cash              - Accounts Payable</w:t>
            </w:r>
          </w:p>
          <w:p w:rsidR="0004068C" w:rsidRDefault="0004068C" w:rsidP="0004068C">
            <w:pPr>
              <w:pStyle w:val="Outline3"/>
              <w:ind w:left="1800"/>
            </w:pPr>
            <w:r>
              <w:t>Decrease on both sides of equation keeps equation in balance.</w:t>
            </w:r>
          </w:p>
          <w:p w:rsidR="002D21D9" w:rsidRPr="00C37720" w:rsidRDefault="002D21D9" w:rsidP="0004068C">
            <w:pPr>
              <w:pStyle w:val="Outline3"/>
            </w:pPr>
          </w:p>
        </w:tc>
        <w:tc>
          <w:tcPr>
            <w:tcW w:w="2358" w:type="dxa"/>
          </w:tcPr>
          <w:p w:rsidR="002D21D9" w:rsidRDefault="002D21D9" w:rsidP="002E66BA">
            <w:pPr>
              <w:pStyle w:val="Outline2"/>
              <w:rPr>
                <w:b/>
                <w:sz w:val="20"/>
              </w:rPr>
            </w:pPr>
          </w:p>
        </w:tc>
      </w:tr>
      <w:tr w:rsidR="002D21D9" w:rsidTr="002E66BA">
        <w:tc>
          <w:tcPr>
            <w:tcW w:w="7200" w:type="dxa"/>
          </w:tcPr>
          <w:p w:rsidR="004C44DB" w:rsidRDefault="002D21D9" w:rsidP="004C44DB">
            <w:pPr>
              <w:pStyle w:val="Outline3"/>
              <w:tabs>
                <w:tab w:val="clear" w:pos="1440"/>
              </w:tabs>
              <w:ind w:left="1080" w:firstLine="0"/>
            </w:pPr>
            <w:r>
              <w:t>1</w:t>
            </w:r>
            <w:r w:rsidR="00F2555B">
              <w:t>1</w:t>
            </w:r>
            <w:r>
              <w:t xml:space="preserve">. </w:t>
            </w:r>
            <w:r w:rsidR="008D1EB7">
              <w:t xml:space="preserve">Payment of </w:t>
            </w:r>
            <w:r w:rsidR="00291D3C">
              <w:t>cash dividends</w:t>
            </w:r>
            <w:r w:rsidR="0004068C">
              <w:t>:</w:t>
            </w:r>
          </w:p>
          <w:p w:rsidR="004C44DB" w:rsidRDefault="004C44DB" w:rsidP="004C44DB">
            <w:pPr>
              <w:pStyle w:val="Outline3"/>
              <w:ind w:left="1800"/>
            </w:pPr>
            <w:r>
              <w:t>ASSET    =   LIABILITIES   +    EQUITY</w:t>
            </w:r>
          </w:p>
          <w:p w:rsidR="004C44DB" w:rsidRDefault="004C44DB" w:rsidP="004C44DB">
            <w:pPr>
              <w:pStyle w:val="Outline3"/>
              <w:ind w:left="1800"/>
              <w:rPr>
                <w:b/>
              </w:rPr>
            </w:pPr>
            <w:r>
              <w:rPr>
                <w:b/>
              </w:rPr>
              <w:t xml:space="preserve">- Cash                                    - (+ </w:t>
            </w:r>
            <w:r w:rsidR="008D1EB7">
              <w:rPr>
                <w:b/>
              </w:rPr>
              <w:t>Dividends</w:t>
            </w:r>
            <w:r>
              <w:rPr>
                <w:b/>
              </w:rPr>
              <w:t>)</w:t>
            </w:r>
          </w:p>
          <w:p w:rsidR="002D21D9" w:rsidRDefault="002D21D9" w:rsidP="004C44DB">
            <w:pPr>
              <w:pStyle w:val="Outline3"/>
              <w:tabs>
                <w:tab w:val="clear" w:pos="1440"/>
              </w:tabs>
              <w:ind w:firstLine="0"/>
            </w:pPr>
            <w:r>
              <w:t>Decrease on both sides of equation keeps equation in balance.</w:t>
            </w:r>
            <w:r w:rsidR="008D1EB7">
              <w:t xml:space="preserve"> </w:t>
            </w:r>
            <w:r>
              <w:t>(</w:t>
            </w:r>
            <w:r w:rsidR="008D1EB7">
              <w:t>N</w:t>
            </w:r>
            <w:r>
              <w:t xml:space="preserve">ote: since </w:t>
            </w:r>
            <w:r w:rsidR="008D1EB7">
              <w:t xml:space="preserve">dividends </w:t>
            </w:r>
            <w:r>
              <w:t>are not expenses they are not used in computing net income.)</w:t>
            </w:r>
          </w:p>
          <w:p w:rsidR="004C44DB" w:rsidRDefault="004C44DB" w:rsidP="004C44DB">
            <w:pPr>
              <w:pStyle w:val="Outline3"/>
              <w:tabs>
                <w:tab w:val="clear" w:pos="1440"/>
              </w:tabs>
              <w:ind w:firstLine="0"/>
            </w:pPr>
          </w:p>
        </w:tc>
        <w:tc>
          <w:tcPr>
            <w:tcW w:w="2358" w:type="dxa"/>
          </w:tcPr>
          <w:p w:rsidR="002D21D9" w:rsidRDefault="002D21D9" w:rsidP="002E66BA">
            <w:pPr>
              <w:pStyle w:val="Outline2"/>
              <w:rPr>
                <w:b/>
                <w:sz w:val="20"/>
              </w:rPr>
            </w:pPr>
          </w:p>
        </w:tc>
      </w:tr>
    </w:tbl>
    <w:p w:rsidR="002D21D9" w:rsidRDefault="002D21D9" w:rsidP="002D21D9">
      <w:r>
        <w:rPr>
          <w:b/>
        </w:rPr>
        <w:br w:type="page"/>
      </w:r>
    </w:p>
    <w:tbl>
      <w:tblPr>
        <w:tblW w:w="0" w:type="auto"/>
        <w:tblBorders>
          <w:insideV w:val="single" w:sz="4" w:space="0" w:color="auto"/>
        </w:tblBorders>
        <w:tblLayout w:type="fixed"/>
        <w:tblLook w:val="0000" w:firstRow="0" w:lastRow="0" w:firstColumn="0" w:lastColumn="0" w:noHBand="0" w:noVBand="0"/>
      </w:tblPr>
      <w:tblGrid>
        <w:gridCol w:w="7398"/>
        <w:gridCol w:w="2160"/>
      </w:tblGrid>
      <w:tr w:rsidR="002D21D9" w:rsidTr="004C44DB">
        <w:tc>
          <w:tcPr>
            <w:tcW w:w="7398" w:type="dxa"/>
            <w:tcBorders>
              <w:top w:val="nil"/>
            </w:tcBorders>
          </w:tcPr>
          <w:p w:rsidR="002D21D9" w:rsidRDefault="002D21D9" w:rsidP="002E66BA">
            <w:pPr>
              <w:pStyle w:val="Heading1"/>
            </w:pPr>
            <w:r>
              <w:lastRenderedPageBreak/>
              <w:br w:type="page"/>
            </w:r>
            <w:r>
              <w:br w:type="page"/>
              <w:t>Chapter Outline</w:t>
            </w:r>
          </w:p>
        </w:tc>
        <w:tc>
          <w:tcPr>
            <w:tcW w:w="2160" w:type="dxa"/>
            <w:tcBorders>
              <w:top w:val="nil"/>
            </w:tcBorders>
          </w:tcPr>
          <w:p w:rsidR="002D21D9" w:rsidRDefault="002D21D9" w:rsidP="002E66BA">
            <w:pPr>
              <w:pStyle w:val="Heading1"/>
              <w:jc w:val="center"/>
              <w:rPr>
                <w:rFonts w:ascii="Times New Roman" w:hAnsi="Times New Roman"/>
              </w:rPr>
            </w:pPr>
            <w:r>
              <w:t>Notes</w:t>
            </w:r>
          </w:p>
        </w:tc>
      </w:tr>
      <w:tr w:rsidR="002D21D9" w:rsidTr="004C44DB">
        <w:tc>
          <w:tcPr>
            <w:tcW w:w="7398" w:type="dxa"/>
            <w:tcBorders>
              <w:top w:val="nil"/>
            </w:tcBorders>
          </w:tcPr>
          <w:tbl>
            <w:tblPr>
              <w:tblW w:w="0" w:type="auto"/>
              <w:tblBorders>
                <w:insideV w:val="single" w:sz="4" w:space="0" w:color="auto"/>
              </w:tblBorders>
              <w:tblLayout w:type="fixed"/>
              <w:tblLook w:val="0000" w:firstRow="0" w:lastRow="0" w:firstColumn="0" w:lastColumn="0" w:noHBand="0" w:noVBand="0"/>
            </w:tblPr>
            <w:tblGrid>
              <w:gridCol w:w="7200"/>
            </w:tblGrid>
            <w:tr w:rsidR="004C44DB" w:rsidTr="00F61FB8">
              <w:tc>
                <w:tcPr>
                  <w:tcW w:w="7200" w:type="dxa"/>
                </w:tcPr>
                <w:p w:rsidR="004C44DB" w:rsidRDefault="004C44DB" w:rsidP="004C44DB">
                  <w:pPr>
                    <w:pStyle w:val="Outline1"/>
                    <w:rPr>
                      <w:b/>
                      <w:bCs/>
                    </w:rPr>
                  </w:pPr>
                  <w:r>
                    <w:rPr>
                      <w:b/>
                      <w:bCs/>
                    </w:rPr>
                    <w:t>IV.</w:t>
                  </w:r>
                  <w:r>
                    <w:rPr>
                      <w:b/>
                      <w:bCs/>
                    </w:rPr>
                    <w:tab/>
                    <w:t>Financial Statements</w:t>
                  </w:r>
                </w:p>
              </w:tc>
            </w:tr>
            <w:tr w:rsidR="004C44DB" w:rsidTr="00F61FB8">
              <w:tc>
                <w:tcPr>
                  <w:tcW w:w="7200" w:type="dxa"/>
                </w:tcPr>
                <w:p w:rsidR="004C44DB" w:rsidRDefault="004C44DB" w:rsidP="004C44DB">
                  <w:pPr>
                    <w:pStyle w:val="Outline2"/>
                  </w:pPr>
                  <w:r>
                    <w:t>A.</w:t>
                  </w:r>
                  <w:r>
                    <w:tab/>
                    <w:t xml:space="preserve">The four </w:t>
                  </w:r>
                  <w:r>
                    <w:rPr>
                      <w:bCs/>
                    </w:rPr>
                    <w:t>financial statements and their purposes are:</w:t>
                  </w:r>
                </w:p>
              </w:tc>
            </w:tr>
            <w:tr w:rsidR="004C44DB" w:rsidTr="00F61FB8">
              <w:tc>
                <w:tcPr>
                  <w:tcW w:w="7200" w:type="dxa"/>
                  <w:tcBorders>
                    <w:top w:val="nil"/>
                  </w:tcBorders>
                </w:tcPr>
                <w:p w:rsidR="004C44DB" w:rsidRDefault="004C44DB" w:rsidP="004C44DB">
                  <w:pPr>
                    <w:pStyle w:val="Outline3"/>
                  </w:pPr>
                  <w:r>
                    <w:t>1</w:t>
                  </w:r>
                  <w:r>
                    <w:rPr>
                      <w:i/>
                    </w:rPr>
                    <w:t>.</w:t>
                  </w:r>
                  <w:r>
                    <w:tab/>
                  </w:r>
                  <w:r>
                    <w:rPr>
                      <w:i/>
                    </w:rPr>
                    <w:t>Income Statement</w:t>
                  </w:r>
                  <w:r>
                    <w:t>—describes a company’s revenues and expenses along with the resulting net income or loss over a period of time.  (Net income occurs when revenues exceed expenses.  Net loss occurs when expenses exceed revenues.)</w:t>
                  </w:r>
                </w:p>
                <w:p w:rsidR="004C44DB" w:rsidRDefault="004C44DB">
                  <w:pPr>
                    <w:pStyle w:val="Outline3"/>
                  </w:pPr>
                  <w:r>
                    <w:t>2</w:t>
                  </w:r>
                  <w:r>
                    <w:rPr>
                      <w:i/>
                    </w:rPr>
                    <w:t>.</w:t>
                  </w:r>
                  <w:r>
                    <w:tab/>
                  </w:r>
                  <w:r>
                    <w:rPr>
                      <w:i/>
                    </w:rPr>
                    <w:t xml:space="preserve">Statement of </w:t>
                  </w:r>
                  <w:r w:rsidR="00463F2F">
                    <w:rPr>
                      <w:i/>
                    </w:rPr>
                    <w:t>Retained Earnings</w:t>
                  </w:r>
                  <w:r>
                    <w:t xml:space="preserve">—explains changes in equity from net income (or loss) and </w:t>
                  </w:r>
                  <w:r w:rsidR="00463F2F">
                    <w:t>dividends</w:t>
                  </w:r>
                  <w:r>
                    <w:t xml:space="preserve"> over a period of time.</w:t>
                  </w:r>
                </w:p>
              </w:tc>
            </w:tr>
            <w:tr w:rsidR="004C44DB" w:rsidTr="00F61FB8">
              <w:tc>
                <w:tcPr>
                  <w:tcW w:w="7200" w:type="dxa"/>
                  <w:tcBorders>
                    <w:top w:val="nil"/>
                  </w:tcBorders>
                </w:tcPr>
                <w:p w:rsidR="004C44DB" w:rsidRDefault="004C44DB" w:rsidP="004C44DB">
                  <w:pPr>
                    <w:pStyle w:val="Outline3"/>
                  </w:pPr>
                  <w:r>
                    <w:t>3</w:t>
                  </w:r>
                  <w:r>
                    <w:rPr>
                      <w:i/>
                    </w:rPr>
                    <w:t>.</w:t>
                  </w:r>
                  <w:r>
                    <w:tab/>
                  </w:r>
                  <w:r>
                    <w:rPr>
                      <w:i/>
                    </w:rPr>
                    <w:t>Balance Sheet</w:t>
                  </w:r>
                  <w:r>
                    <w:t>—describes a company’s financial position (types and amounts of assets, liabilities, and equity) at a point in time.</w:t>
                  </w:r>
                </w:p>
                <w:p w:rsidR="004C44DB" w:rsidRDefault="004C44DB" w:rsidP="004C44DB">
                  <w:pPr>
                    <w:pStyle w:val="Outline3"/>
                  </w:pPr>
                  <w:r>
                    <w:t>4.</w:t>
                  </w:r>
                  <w:r>
                    <w:tab/>
                  </w:r>
                  <w:r>
                    <w:rPr>
                      <w:i/>
                    </w:rPr>
                    <w:t>Statement of Cash Flows</w:t>
                  </w:r>
                  <w:r>
                    <w:t>—identifies cash inflows (receipts) and cash outflows (payments) over a period of time.</w:t>
                  </w:r>
                </w:p>
              </w:tc>
            </w:tr>
            <w:tr w:rsidR="004C44DB" w:rsidTr="00F61FB8">
              <w:tc>
                <w:tcPr>
                  <w:tcW w:w="7200" w:type="dxa"/>
                  <w:tcBorders>
                    <w:top w:val="nil"/>
                  </w:tcBorders>
                </w:tcPr>
                <w:p w:rsidR="004C44DB" w:rsidRDefault="004C44DB" w:rsidP="004C44DB">
                  <w:pPr>
                    <w:pStyle w:val="Outline2"/>
                  </w:pPr>
                  <w:r>
                    <w:t>B.</w:t>
                  </w:r>
                  <w:r>
                    <w:tab/>
                    <w:t xml:space="preserve">Statement Preparation from Transaction Analysis—prepared in the following order using the </w:t>
                  </w:r>
                  <w:r>
                    <w:rPr>
                      <w:i/>
                    </w:rPr>
                    <w:t>procedure</w:t>
                  </w:r>
                  <w:r>
                    <w:t xml:space="preserve"> indicated below.</w:t>
                  </w:r>
                </w:p>
              </w:tc>
            </w:tr>
            <w:tr w:rsidR="004C44DB" w:rsidTr="00F61FB8">
              <w:tc>
                <w:tcPr>
                  <w:tcW w:w="7200" w:type="dxa"/>
                  <w:tcBorders>
                    <w:top w:val="nil"/>
                    <w:bottom w:val="nil"/>
                  </w:tcBorders>
                </w:tcPr>
                <w:p w:rsidR="004C44DB" w:rsidRDefault="004C44DB" w:rsidP="004C44DB">
                  <w:pPr>
                    <w:pStyle w:val="Outline3"/>
                  </w:pPr>
                  <w:r>
                    <w:t>1.</w:t>
                  </w:r>
                  <w:r>
                    <w:tab/>
                    <w:t>Income Statement</w:t>
                  </w:r>
                  <w:r>
                    <w:sym w:font="Symbol" w:char="F0BE"/>
                  </w:r>
                  <w:r>
                    <w:t>information about revenues and expenses is conveniently taken from the owner's equity column. Total revenues minus total expenses equals net income or loss. Notice that owner’s withdrawals and investments are not part of measuring income or loss.</w:t>
                  </w:r>
                </w:p>
                <w:p w:rsidR="004C44DB" w:rsidRDefault="004C44DB" w:rsidP="004C44DB">
                  <w:pPr>
                    <w:pStyle w:val="Outline3"/>
                  </w:pPr>
                  <w:r>
                    <w:t>2.</w:t>
                  </w:r>
                  <w:r>
                    <w:tab/>
                    <w:t xml:space="preserve">Statement of </w:t>
                  </w:r>
                  <w:r w:rsidR="00463F2F">
                    <w:t>Retained Earnings</w:t>
                  </w:r>
                  <w:r>
                    <w:sym w:font="Symbol" w:char="F0BE"/>
                  </w:r>
                  <w:r w:rsidR="00BA4F14">
                    <w:t>reports information about retained earnings changes over the reporting period. Shows</w:t>
                  </w:r>
                  <w:r>
                    <w:t xml:space="preserve"> beginning </w:t>
                  </w:r>
                  <w:r w:rsidR="00BA4F14">
                    <w:t>retained earnings. N</w:t>
                  </w:r>
                  <w:r>
                    <w:t xml:space="preserve">et income, from the income statement is added (or the net loss is subtracted) and finally the </w:t>
                  </w:r>
                  <w:r w:rsidR="00BA4F14">
                    <w:t>dividends</w:t>
                  </w:r>
                  <w:r>
                    <w:t xml:space="preserve"> are subtracted to arrive at the ending </w:t>
                  </w:r>
                  <w:r w:rsidR="00BA4F14">
                    <w:t>retained earnings</w:t>
                  </w:r>
                  <w:r>
                    <w:t xml:space="preserve">. Ending </w:t>
                  </w:r>
                  <w:r w:rsidR="00BA4F14">
                    <w:t xml:space="preserve">retained earnings </w:t>
                  </w:r>
                  <w:r>
                    <w:t xml:space="preserve">is </w:t>
                  </w:r>
                  <w:r w:rsidR="000900C3">
                    <w:t xml:space="preserve">added </w:t>
                  </w:r>
                  <w:r>
                    <w:t>to Balance Sheet.</w:t>
                  </w:r>
                </w:p>
                <w:tbl>
                  <w:tblPr>
                    <w:tblW w:w="0" w:type="auto"/>
                    <w:tblBorders>
                      <w:insideV w:val="single" w:sz="4" w:space="0" w:color="auto"/>
                    </w:tblBorders>
                    <w:tblLayout w:type="fixed"/>
                    <w:tblLook w:val="0000" w:firstRow="0" w:lastRow="0" w:firstColumn="0" w:lastColumn="0" w:noHBand="0" w:noVBand="0"/>
                  </w:tblPr>
                  <w:tblGrid>
                    <w:gridCol w:w="7200"/>
                  </w:tblGrid>
                  <w:tr w:rsidR="004C44DB" w:rsidTr="00F61FB8">
                    <w:tc>
                      <w:tcPr>
                        <w:tcW w:w="7200" w:type="dxa"/>
                        <w:tcBorders>
                          <w:top w:val="nil"/>
                        </w:tcBorders>
                      </w:tcPr>
                      <w:p w:rsidR="004C44DB" w:rsidRDefault="004C44DB">
                        <w:pPr>
                          <w:pStyle w:val="Outline3"/>
                        </w:pPr>
                        <w:r>
                          <w:t>3.</w:t>
                        </w:r>
                        <w:r>
                          <w:tab/>
                          <w:t>Balance Sheet</w:t>
                        </w:r>
                        <w:r>
                          <w:sym w:font="Symbol" w:char="F0BE"/>
                        </w:r>
                        <w:r>
                          <w:t xml:space="preserve">the ending balance of each asset is listed and the total of this listing equals total assets. The ending balance of each liability is listed and the total of this listing equals total liabilities. The ending </w:t>
                        </w:r>
                        <w:r w:rsidR="00BA4F14">
                          <w:t xml:space="preserve">retained earnings balance </w:t>
                        </w:r>
                        <w:r>
                          <w:t xml:space="preserve">(note that this is taken from the statement of </w:t>
                        </w:r>
                        <w:r w:rsidR="00BA4F14">
                          <w:t>retained earnings</w:t>
                        </w:r>
                        <w:r>
                          <w:t xml:space="preserve">), is listed </w:t>
                        </w:r>
                        <w:r w:rsidR="00BA4F14">
                          <w:t xml:space="preserve">along with common stock </w:t>
                        </w:r>
                        <w:r>
                          <w:t xml:space="preserve">and added to total liabilities to get total liabilities and equity. This total must agree with total assets to prove the accounting equation. Either the </w:t>
                        </w:r>
                        <w:r>
                          <w:rPr>
                            <w:i/>
                          </w:rPr>
                          <w:t>account form</w:t>
                        </w:r>
                        <w:r>
                          <w:t xml:space="preserve"> or the </w:t>
                        </w:r>
                        <w:r>
                          <w:rPr>
                            <w:i/>
                          </w:rPr>
                          <w:t>report form</w:t>
                        </w:r>
                        <w:r>
                          <w:t xml:space="preserve"> may be used to prepare the balance sheet.</w:t>
                        </w:r>
                      </w:p>
                    </w:tc>
                  </w:tr>
                  <w:tr w:rsidR="004C44DB" w:rsidTr="00F61FB8">
                    <w:tc>
                      <w:tcPr>
                        <w:tcW w:w="7200" w:type="dxa"/>
                        <w:tcBorders>
                          <w:top w:val="nil"/>
                        </w:tcBorders>
                      </w:tcPr>
                      <w:p w:rsidR="004C44DB" w:rsidRDefault="004C44DB" w:rsidP="004C44DB">
                        <w:pPr>
                          <w:pStyle w:val="Outline3"/>
                        </w:pPr>
                        <w:r>
                          <w:t>4.</w:t>
                        </w:r>
                        <w:r>
                          <w:tab/>
                          <w:t>Statement of Cash Flows</w:t>
                        </w:r>
                        <w:r>
                          <w:sym w:font="Symbol" w:char="F0BE"/>
                        </w:r>
                        <w:r>
                          <w:t>the cash column must be carefully analyzed to organize and report cash flows in categories of operating, investing, and financing. The net change in cash is determined by combining the net cash flow in each of the three categories.  This change is combined with the beginning cash. The resulting figure should be the ending cash that was shown on the balance sheet.</w:t>
                        </w:r>
                      </w:p>
                    </w:tc>
                  </w:tr>
                </w:tbl>
                <w:p w:rsidR="004C44DB" w:rsidRDefault="004C44DB" w:rsidP="004C44DB">
                  <w:pPr>
                    <w:pStyle w:val="Outline3"/>
                  </w:pPr>
                </w:p>
              </w:tc>
            </w:tr>
          </w:tbl>
          <w:p w:rsidR="002D21D9" w:rsidRDefault="002D21D9" w:rsidP="002E66BA">
            <w:pPr>
              <w:pStyle w:val="Outline3"/>
            </w:pPr>
          </w:p>
        </w:tc>
        <w:tc>
          <w:tcPr>
            <w:tcW w:w="2160" w:type="dxa"/>
            <w:tcBorders>
              <w:top w:val="nil"/>
            </w:tcBorders>
          </w:tcPr>
          <w:p w:rsidR="002D21D9" w:rsidRDefault="002D21D9" w:rsidP="002E66BA">
            <w:pPr>
              <w:pStyle w:val="Heading1"/>
              <w:jc w:val="center"/>
            </w:pPr>
          </w:p>
        </w:tc>
      </w:tr>
    </w:tbl>
    <w:p w:rsidR="002D21D9" w:rsidRDefault="002D21D9" w:rsidP="002D21D9">
      <w:r>
        <w:br w:type="page"/>
      </w:r>
    </w:p>
    <w:tbl>
      <w:tblPr>
        <w:tblW w:w="0" w:type="auto"/>
        <w:tblBorders>
          <w:insideV w:val="single" w:sz="4" w:space="0" w:color="auto"/>
        </w:tblBorders>
        <w:tblLayout w:type="fixed"/>
        <w:tblLook w:val="0000" w:firstRow="0" w:lastRow="0" w:firstColumn="0" w:lastColumn="0" w:noHBand="0" w:noVBand="0"/>
      </w:tblPr>
      <w:tblGrid>
        <w:gridCol w:w="7488"/>
        <w:gridCol w:w="2070"/>
      </w:tblGrid>
      <w:tr w:rsidR="002D21D9" w:rsidTr="009D4DB6">
        <w:tc>
          <w:tcPr>
            <w:tcW w:w="7488" w:type="dxa"/>
            <w:tcBorders>
              <w:top w:val="nil"/>
            </w:tcBorders>
          </w:tcPr>
          <w:p w:rsidR="002D21D9" w:rsidRDefault="002D21D9" w:rsidP="002E66BA">
            <w:pPr>
              <w:pStyle w:val="Heading1"/>
            </w:pPr>
            <w:r>
              <w:lastRenderedPageBreak/>
              <w:br w:type="page"/>
              <w:t>Chapter Outline</w:t>
            </w:r>
          </w:p>
        </w:tc>
        <w:tc>
          <w:tcPr>
            <w:tcW w:w="2070" w:type="dxa"/>
            <w:tcBorders>
              <w:top w:val="nil"/>
            </w:tcBorders>
          </w:tcPr>
          <w:p w:rsidR="002D21D9" w:rsidRDefault="002D21D9" w:rsidP="002E66BA">
            <w:pPr>
              <w:pStyle w:val="Heading1"/>
              <w:jc w:val="center"/>
              <w:rPr>
                <w:rFonts w:ascii="Times New Roman" w:hAnsi="Times New Roman"/>
              </w:rPr>
            </w:pPr>
            <w:r>
              <w:t>Notes</w:t>
            </w:r>
          </w:p>
        </w:tc>
      </w:tr>
      <w:tr w:rsidR="002D21D9" w:rsidTr="009D4DB6">
        <w:tc>
          <w:tcPr>
            <w:tcW w:w="7488" w:type="dxa"/>
            <w:tcBorders>
              <w:top w:val="nil"/>
              <w:bottom w:val="nil"/>
            </w:tcBorders>
          </w:tcPr>
          <w:tbl>
            <w:tblPr>
              <w:tblW w:w="0" w:type="auto"/>
              <w:tblBorders>
                <w:insideV w:val="single" w:sz="4" w:space="0" w:color="auto"/>
              </w:tblBorders>
              <w:tblLayout w:type="fixed"/>
              <w:tblLook w:val="0000" w:firstRow="0" w:lastRow="0" w:firstColumn="0" w:lastColumn="0" w:noHBand="0" w:noVBand="0"/>
            </w:tblPr>
            <w:tblGrid>
              <w:gridCol w:w="7398"/>
            </w:tblGrid>
            <w:tr w:rsidR="004C44DB" w:rsidRPr="005C4608" w:rsidTr="00F61FB8">
              <w:tc>
                <w:tcPr>
                  <w:tcW w:w="7398" w:type="dxa"/>
                  <w:tcBorders>
                    <w:top w:val="nil"/>
                  </w:tcBorders>
                </w:tcPr>
                <w:p w:rsidR="004C44DB" w:rsidRPr="005C4608" w:rsidRDefault="004C44DB">
                  <w:pPr>
                    <w:pStyle w:val="Outline1"/>
                    <w:rPr>
                      <w:b/>
                      <w:bCs/>
                    </w:rPr>
                  </w:pPr>
                  <w:r>
                    <w:rPr>
                      <w:b/>
                      <w:bCs/>
                    </w:rPr>
                    <w:t>V</w:t>
                  </w:r>
                  <w:r w:rsidRPr="005C4608">
                    <w:rPr>
                      <w:b/>
                      <w:bCs/>
                    </w:rPr>
                    <w:t>.</w:t>
                  </w:r>
                  <w:r>
                    <w:rPr>
                      <w:b/>
                      <w:bCs/>
                    </w:rPr>
                    <w:tab/>
                  </w:r>
                  <w:r w:rsidR="00B8791C">
                    <w:rPr>
                      <w:b/>
                      <w:bCs/>
                    </w:rPr>
                    <w:t xml:space="preserve">Sustainability and Accounting </w:t>
                  </w:r>
                  <w:proofErr w:type="gramStart"/>
                  <w:r w:rsidRPr="005C4608">
                    <w:rPr>
                      <w:b/>
                      <w:bCs/>
                    </w:rPr>
                    <w:t>—</w:t>
                  </w:r>
                  <w:r w:rsidR="00B8791C">
                    <w:rPr>
                      <w:bCs/>
                    </w:rPr>
                    <w:t>(</w:t>
                  </w:r>
                  <w:proofErr w:type="gramEnd"/>
                  <w:r w:rsidR="00B8791C">
                    <w:rPr>
                      <w:bCs/>
                    </w:rPr>
                    <w:t>SASB) nonprofit entity engaged in creating and disseminating sustainability accounting standards for companies.</w:t>
                  </w:r>
                </w:p>
              </w:tc>
            </w:tr>
            <w:tr w:rsidR="004C44DB" w:rsidTr="00F61FB8">
              <w:tc>
                <w:tcPr>
                  <w:tcW w:w="7398" w:type="dxa"/>
                  <w:tcBorders>
                    <w:top w:val="nil"/>
                  </w:tcBorders>
                </w:tcPr>
                <w:p w:rsidR="004C44DB" w:rsidRDefault="00B8791C" w:rsidP="004C44DB">
                  <w:pPr>
                    <w:pStyle w:val="Outline2"/>
                    <w:numPr>
                      <w:ilvl w:val="0"/>
                      <w:numId w:val="25"/>
                    </w:numPr>
                  </w:pPr>
                  <w:r>
                    <w:t>Sustainability</w:t>
                  </w:r>
                  <w:r w:rsidR="004C44DB">
                    <w:t>—</w:t>
                  </w:r>
                  <w:r>
                    <w:t>refers to environmental, social and governance aspects</w:t>
                  </w:r>
                  <w:r w:rsidR="004C44DB">
                    <w:t xml:space="preserve">. </w:t>
                  </w:r>
                  <w:r>
                    <w:t xml:space="preserve"> Includes social aspects such as donations and environmental aspects such as reducing pollution and increasing safety.</w:t>
                  </w:r>
                </w:p>
                <w:p w:rsidR="004C44DB" w:rsidRDefault="00B8791C">
                  <w:pPr>
                    <w:pStyle w:val="Outline2"/>
                    <w:numPr>
                      <w:ilvl w:val="0"/>
                      <w:numId w:val="25"/>
                    </w:numPr>
                  </w:pPr>
                  <w:r>
                    <w:t>Sustainability Returns</w:t>
                  </w:r>
                  <w:r w:rsidR="004C44DB">
                    <w:t>—</w:t>
                  </w:r>
                  <w:r>
                    <w:t>returns for companies with sustainable behavior is roughly on par with or better than those of S&amp;P 500 companies</w:t>
                  </w:r>
                  <w:r w:rsidR="004C44DB">
                    <w:t>.</w:t>
                  </w:r>
                </w:p>
              </w:tc>
            </w:tr>
            <w:tr w:rsidR="004C44DB" w:rsidTr="00F61FB8">
              <w:tc>
                <w:tcPr>
                  <w:tcW w:w="7398" w:type="dxa"/>
                  <w:tcBorders>
                    <w:top w:val="nil"/>
                  </w:tcBorders>
                </w:tcPr>
                <w:p w:rsidR="004C44DB" w:rsidRDefault="004C44DB" w:rsidP="004C44DB">
                  <w:pPr>
                    <w:pStyle w:val="Outline1"/>
                    <w:rPr>
                      <w:b/>
                      <w:bCs/>
                    </w:rPr>
                  </w:pPr>
                  <w:r>
                    <w:rPr>
                      <w:b/>
                      <w:bCs/>
                    </w:rPr>
                    <w:t>VI.</w:t>
                  </w:r>
                  <w:r>
                    <w:rPr>
                      <w:b/>
                      <w:bCs/>
                    </w:rPr>
                    <w:tab/>
                    <w:t>Decision Analysis—Return on Assets (ROA)—</w:t>
                  </w:r>
                  <w:r>
                    <w:rPr>
                      <w:bCs/>
                    </w:rPr>
                    <w:t>a profitability measure.  Also called Return on Investment (ROI)</w:t>
                  </w:r>
                </w:p>
              </w:tc>
            </w:tr>
            <w:tr w:rsidR="004C44DB" w:rsidTr="00F61FB8">
              <w:tc>
                <w:tcPr>
                  <w:tcW w:w="7398" w:type="dxa"/>
                  <w:tcBorders>
                    <w:top w:val="nil"/>
                    <w:bottom w:val="nil"/>
                  </w:tcBorders>
                </w:tcPr>
                <w:p w:rsidR="004C44DB" w:rsidRDefault="004C44DB" w:rsidP="004C44DB">
                  <w:pPr>
                    <w:pStyle w:val="Outline2"/>
                  </w:pPr>
                  <w:r>
                    <w:t>A.</w:t>
                  </w:r>
                  <w:r>
                    <w:tab/>
                    <w:t>Useful in evaluating management, analyzing and forecasting profits, and planning activities.</w:t>
                  </w:r>
                </w:p>
                <w:p w:rsidR="004C44DB" w:rsidRDefault="004C44DB" w:rsidP="004C44DB">
                  <w:pPr>
                    <w:pStyle w:val="Outline2"/>
                  </w:pPr>
                  <w:r>
                    <w:t>B.</w:t>
                  </w:r>
                  <w:r>
                    <w:tab/>
                    <w:t>The return on assets is: calculated by dividing net income for a period by average total assets. (Average total assets is determined by adding the beginning and ending assets and dividing by 2.)</w:t>
                  </w:r>
                </w:p>
                <w:p w:rsidR="004C44DB" w:rsidRDefault="004C44DB" w:rsidP="004C44DB">
                  <w:pPr>
                    <w:pStyle w:val="Outline2"/>
                  </w:pPr>
                  <w:r>
                    <w:t>C.</w:t>
                  </w:r>
                  <w:r>
                    <w:tab/>
                    <w:t>As with all analysis tools, results should be compared to previous business results as well as competitor’s results and industry norms.</w:t>
                  </w:r>
                </w:p>
              </w:tc>
            </w:tr>
            <w:tr w:rsidR="004C44DB" w:rsidTr="00F61FB8">
              <w:tc>
                <w:tcPr>
                  <w:tcW w:w="7398" w:type="dxa"/>
                  <w:tcBorders>
                    <w:top w:val="nil"/>
                    <w:bottom w:val="nil"/>
                  </w:tcBorders>
                </w:tcPr>
                <w:p w:rsidR="004C44DB" w:rsidRDefault="004C44DB" w:rsidP="004C44DB">
                  <w:pPr>
                    <w:pStyle w:val="Outline1"/>
                    <w:rPr>
                      <w:b/>
                      <w:bCs/>
                    </w:rPr>
                  </w:pPr>
                  <w:r>
                    <w:rPr>
                      <w:b/>
                      <w:bCs/>
                    </w:rPr>
                    <w:t>VII.</w:t>
                  </w:r>
                  <w:r>
                    <w:tab/>
                  </w:r>
                  <w:r>
                    <w:rPr>
                      <w:b/>
                      <w:bCs/>
                    </w:rPr>
                    <w:t>Risk and Return Analysis—Appendix 1A</w:t>
                  </w:r>
                </w:p>
              </w:tc>
            </w:tr>
            <w:tr w:rsidR="004C44DB" w:rsidTr="00F61FB8">
              <w:tc>
                <w:tcPr>
                  <w:tcW w:w="7398" w:type="dxa"/>
                  <w:tcBorders>
                    <w:top w:val="nil"/>
                    <w:bottom w:val="nil"/>
                  </w:tcBorders>
                </w:tcPr>
                <w:p w:rsidR="004C44DB" w:rsidRDefault="004C44DB" w:rsidP="004C44DB">
                  <w:pPr>
                    <w:pStyle w:val="Outline2"/>
                  </w:pPr>
                  <w:r>
                    <w:t>A.</w:t>
                  </w:r>
                  <w:r>
                    <w:tab/>
                    <w:t>Risk—the uncertainty about the return we will earn on an investment.</w:t>
                  </w:r>
                </w:p>
                <w:p w:rsidR="004C44DB" w:rsidRDefault="004C44DB" w:rsidP="004C44DB">
                  <w:pPr>
                    <w:pStyle w:val="Outline2"/>
                  </w:pPr>
                  <w:r>
                    <w:t>B.</w:t>
                  </w:r>
                  <w:r>
                    <w:tab/>
                    <w:t>The lower the risk, the lower the return.</w:t>
                  </w:r>
                </w:p>
                <w:p w:rsidR="004C44DB" w:rsidRDefault="004C44DB" w:rsidP="004C44DB">
                  <w:pPr>
                    <w:pStyle w:val="Outline2"/>
                  </w:pPr>
                  <w:r>
                    <w:t>C.</w:t>
                  </w:r>
                  <w:r>
                    <w:tab/>
                    <w:t>Higher risk implies higher, but riskier implied returns.</w:t>
                  </w:r>
                </w:p>
              </w:tc>
            </w:tr>
          </w:tbl>
          <w:p w:rsidR="002D21D9" w:rsidRDefault="002D21D9" w:rsidP="002E66BA">
            <w:pPr>
              <w:pStyle w:val="Outline1"/>
              <w:rPr>
                <w:b/>
                <w:bCs/>
              </w:rPr>
            </w:pPr>
            <w:r>
              <w:rPr>
                <w:b/>
                <w:bCs/>
              </w:rPr>
              <w:t>VIII.</w:t>
            </w:r>
            <w:r>
              <w:tab/>
            </w:r>
            <w:r>
              <w:rPr>
                <w:b/>
                <w:bCs/>
              </w:rPr>
              <w:t>Business Activities and the Accounting Equation—Appendix 1B</w:t>
            </w:r>
          </w:p>
        </w:tc>
        <w:tc>
          <w:tcPr>
            <w:tcW w:w="2070" w:type="dxa"/>
            <w:tcBorders>
              <w:top w:val="nil"/>
              <w:bottom w:val="nil"/>
            </w:tcBorders>
          </w:tcPr>
          <w:p w:rsidR="002D21D9" w:rsidRDefault="002D21D9" w:rsidP="002E66BA">
            <w:pPr>
              <w:pStyle w:val="Outline1"/>
              <w:ind w:left="0" w:firstLine="0"/>
              <w:rPr>
                <w:b/>
                <w:bCs/>
              </w:rPr>
            </w:pPr>
          </w:p>
        </w:tc>
      </w:tr>
      <w:tr w:rsidR="002D21D9" w:rsidTr="009D4DB6">
        <w:tc>
          <w:tcPr>
            <w:tcW w:w="7488" w:type="dxa"/>
            <w:tcBorders>
              <w:top w:val="nil"/>
              <w:bottom w:val="nil"/>
            </w:tcBorders>
          </w:tcPr>
          <w:p w:rsidR="002D21D9" w:rsidRDefault="002D21D9" w:rsidP="002E66BA">
            <w:pPr>
              <w:pStyle w:val="Outline2"/>
            </w:pPr>
            <w:r>
              <w:t>A.</w:t>
            </w:r>
            <w:r>
              <w:tab/>
              <w:t>The accounting equation is derived from business activities.</w:t>
            </w:r>
          </w:p>
          <w:p w:rsidR="002D21D9" w:rsidRDefault="002D21D9" w:rsidP="002E66BA">
            <w:pPr>
              <w:pStyle w:val="Outline2"/>
            </w:pPr>
            <w:r>
              <w:t>B.</w:t>
            </w:r>
            <w:r>
              <w:tab/>
              <w:t>Three major business activities are:</w:t>
            </w:r>
          </w:p>
        </w:tc>
        <w:tc>
          <w:tcPr>
            <w:tcW w:w="2070" w:type="dxa"/>
            <w:tcBorders>
              <w:top w:val="nil"/>
              <w:bottom w:val="nil"/>
            </w:tcBorders>
          </w:tcPr>
          <w:p w:rsidR="002D21D9" w:rsidRDefault="002D21D9" w:rsidP="002E66BA">
            <w:pPr>
              <w:pStyle w:val="Outline2"/>
            </w:pPr>
          </w:p>
        </w:tc>
      </w:tr>
      <w:tr w:rsidR="002D21D9" w:rsidTr="009D4DB6">
        <w:tc>
          <w:tcPr>
            <w:tcW w:w="7488" w:type="dxa"/>
            <w:tcBorders>
              <w:top w:val="nil"/>
              <w:bottom w:val="nil"/>
            </w:tcBorders>
          </w:tcPr>
          <w:p w:rsidR="002D21D9" w:rsidRDefault="002D21D9" w:rsidP="002E66BA">
            <w:pPr>
              <w:pStyle w:val="Outline3"/>
            </w:pPr>
            <w:r>
              <w:t>1.</w:t>
            </w:r>
            <w:r>
              <w:tab/>
              <w:t>Financing activities—activities that provide the means organizations use to pay for resources such as land, buildings, and equipment to carry out plans.  Two types of financing are:</w:t>
            </w:r>
          </w:p>
        </w:tc>
        <w:tc>
          <w:tcPr>
            <w:tcW w:w="2070" w:type="dxa"/>
            <w:tcBorders>
              <w:top w:val="nil"/>
              <w:bottom w:val="nil"/>
            </w:tcBorders>
          </w:tcPr>
          <w:p w:rsidR="002D21D9" w:rsidRDefault="002D21D9" w:rsidP="002E66BA">
            <w:pPr>
              <w:pStyle w:val="Outline2"/>
            </w:pPr>
          </w:p>
        </w:tc>
      </w:tr>
      <w:tr w:rsidR="002D21D9" w:rsidTr="009D4DB6">
        <w:tc>
          <w:tcPr>
            <w:tcW w:w="7488" w:type="dxa"/>
            <w:tcBorders>
              <w:top w:val="nil"/>
              <w:bottom w:val="nil"/>
            </w:tcBorders>
          </w:tcPr>
          <w:p w:rsidR="002D21D9" w:rsidRDefault="002D21D9" w:rsidP="002E66BA">
            <w:pPr>
              <w:pStyle w:val="Outline4"/>
            </w:pPr>
            <w:r>
              <w:t>a.</w:t>
            </w:r>
            <w:r>
              <w:tab/>
              <w:t>Owner financing—refers to resources contributed by owner including income left in the organization.</w:t>
            </w:r>
          </w:p>
          <w:p w:rsidR="002D21D9" w:rsidRDefault="002D21D9" w:rsidP="002E66BA">
            <w:pPr>
              <w:pStyle w:val="Outline4"/>
            </w:pPr>
            <w:r>
              <w:t>b.</w:t>
            </w:r>
            <w:r>
              <w:tab/>
              <w:t>Non-owner (or creditor) financing—refers to resources contributed by creditors (lenders).</w:t>
            </w:r>
          </w:p>
        </w:tc>
        <w:tc>
          <w:tcPr>
            <w:tcW w:w="2070" w:type="dxa"/>
            <w:tcBorders>
              <w:top w:val="nil"/>
              <w:bottom w:val="nil"/>
            </w:tcBorders>
          </w:tcPr>
          <w:p w:rsidR="002D21D9" w:rsidRDefault="002D21D9" w:rsidP="002E66BA">
            <w:pPr>
              <w:pStyle w:val="Outline3"/>
            </w:pPr>
          </w:p>
        </w:tc>
      </w:tr>
      <w:tr w:rsidR="002D21D9" w:rsidTr="009D4DB6">
        <w:tc>
          <w:tcPr>
            <w:tcW w:w="7488" w:type="dxa"/>
            <w:tcBorders>
              <w:top w:val="nil"/>
              <w:bottom w:val="nil"/>
            </w:tcBorders>
          </w:tcPr>
          <w:p w:rsidR="002D21D9" w:rsidRDefault="002D21D9" w:rsidP="002E66BA">
            <w:pPr>
              <w:pStyle w:val="Outline3"/>
            </w:pPr>
            <w:r>
              <w:t>2.</w:t>
            </w:r>
            <w:r>
              <w:tab/>
              <w:t>Investing activities—are the acquiring and disposing of resources (assets) that an organization uses to acquire and sell its products or services.</w:t>
            </w:r>
          </w:p>
          <w:p w:rsidR="002D21D9" w:rsidRDefault="002D21D9" w:rsidP="002E66BA">
            <w:pPr>
              <w:pStyle w:val="Outline3"/>
            </w:pPr>
            <w:r>
              <w:t>3.</w:t>
            </w:r>
            <w:r>
              <w:tab/>
              <w:t>Operating activities—involve using resources to research, develop, purchase, produce, distribute, and market products and services.</w:t>
            </w:r>
          </w:p>
        </w:tc>
        <w:tc>
          <w:tcPr>
            <w:tcW w:w="2070" w:type="dxa"/>
            <w:tcBorders>
              <w:top w:val="nil"/>
              <w:bottom w:val="nil"/>
            </w:tcBorders>
          </w:tcPr>
          <w:p w:rsidR="002D21D9" w:rsidRDefault="002D21D9" w:rsidP="002E66BA">
            <w:pPr>
              <w:pStyle w:val="Outline2"/>
            </w:pPr>
          </w:p>
        </w:tc>
      </w:tr>
      <w:tr w:rsidR="002D21D9" w:rsidTr="009D4DB6">
        <w:tc>
          <w:tcPr>
            <w:tcW w:w="7488" w:type="dxa"/>
            <w:tcBorders>
              <w:top w:val="nil"/>
            </w:tcBorders>
          </w:tcPr>
          <w:p w:rsidR="002D21D9" w:rsidRDefault="002D21D9" w:rsidP="009D4DB6">
            <w:pPr>
              <w:pStyle w:val="Outline2"/>
            </w:pPr>
            <w:r>
              <w:t>C</w:t>
            </w:r>
            <w:r>
              <w:tab/>
              <w:t>Investing (assets) is balanced by Financing (liabilities and equity).  Operating activities is the result of investing and financing.</w:t>
            </w:r>
          </w:p>
        </w:tc>
        <w:tc>
          <w:tcPr>
            <w:tcW w:w="2070" w:type="dxa"/>
            <w:tcBorders>
              <w:top w:val="nil"/>
            </w:tcBorders>
          </w:tcPr>
          <w:p w:rsidR="002D21D9" w:rsidRDefault="002D21D9" w:rsidP="002E66BA">
            <w:pPr>
              <w:pStyle w:val="Outline2"/>
            </w:pPr>
          </w:p>
        </w:tc>
      </w:tr>
    </w:tbl>
    <w:p w:rsidR="00D909D8" w:rsidRDefault="002D21D9" w:rsidP="00D909D8">
      <w:pPr>
        <w:pStyle w:val="Heading1"/>
        <w:jc w:val="center"/>
      </w:pPr>
      <w:r>
        <w:br w:type="page"/>
      </w:r>
      <w:r w:rsidR="00D909D8">
        <w:lastRenderedPageBreak/>
        <w:t>VISUAL #1</w:t>
      </w:r>
      <w:r w:rsidR="00197FE4">
        <w:t>-1</w:t>
      </w:r>
    </w:p>
    <w:p w:rsidR="00580A82" w:rsidRPr="00580A82" w:rsidRDefault="00580A82" w:rsidP="00580A82">
      <w:pPr>
        <w:pStyle w:val="TableBody"/>
        <w:jc w:val="center"/>
        <w:rPr>
          <w:b/>
        </w:rPr>
      </w:pPr>
    </w:p>
    <w:p w:rsidR="005249D1" w:rsidRDefault="00961123">
      <w:pPr>
        <w:pStyle w:val="Heading2"/>
        <w:spacing w:after="0"/>
        <w:jc w:val="center"/>
        <w:rPr>
          <w:sz w:val="30"/>
        </w:rPr>
      </w:pPr>
      <w:r>
        <w:rPr>
          <w:noProof/>
          <w:sz w:val="30"/>
        </w:rPr>
        <mc:AlternateContent>
          <mc:Choice Requires="wps">
            <w:drawing>
              <wp:anchor distT="0" distB="0" distL="114300" distR="114300" simplePos="0" relativeHeight="251657728" behindDoc="0" locked="0" layoutInCell="0" allowOverlap="1" wp14:anchorId="0AE1D787" wp14:editId="15161091">
                <wp:simplePos x="0" y="0"/>
                <wp:positionH relativeFrom="column">
                  <wp:posOffset>0</wp:posOffset>
                </wp:positionH>
                <wp:positionV relativeFrom="paragraph">
                  <wp:posOffset>-19685</wp:posOffset>
                </wp:positionV>
                <wp:extent cx="5905500" cy="75311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75311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BC78AA7" id="Rectangle 3" o:spid="_x0000_s1026" style="position:absolute;margin-left:0;margin-top:-1.55pt;width:465pt;height:5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BWeAIAAP0E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IMeoeR&#10;Ii206DMUjait5OgmlKczrgCrJ/NoA0BnHjT95pDSywas+L21ums4YZBUFuyTFxeC4OAq2nQfNAPv&#10;ZOd1rNShtm1wCDVAh9iQ46Uh/OARhcPxPB2PU+gbBd10fJNlIIQYpDhfN9b5d1y3KGxKbCH56J7s&#10;H5zvTc8mIZrSayElnJNCKtRBiHQGPiMyLQUL2ijY7WYpLdqTQJz4nQK7a7NWeKCvFG2JwQ18wYgU&#10;oR4rxeLeEyH7PWQtVVADPEjutOtp8jxP56vZapYP8tFkNcjTqhrcr5f5YLLOpuPqplouq+xnyDPL&#10;i0YwxlVI9UzZLP87SpyGpyfbhbQvILlr5Ov4vUaevEwjdgRQnf8RXSRC6H3PoY1mR+CB1f0MwpsB&#10;m0bbHxh1MH8ldt93xHKM5HsFXJpneR4GNgr5eDoCwV5rNtcaoii4KrHHqN8ufT/kO2PFtoFIWeyx&#10;0vfAv1pEZgRu9lmdWAszFhGc3oMwxNdytPr9ai1+AQAA//8DAFBLAwQUAAYACAAAACEAnnvtlt8A&#10;AAAIAQAADwAAAGRycy9kb3ducmV2LnhtbEyPzU7DMBCE70i8g7VI3FonLaA0xKlQoSDxo/4+gBsv&#10;cUS8jmK3DW/PcoLjzoxmvynmg2vFCfvQeFKQjhMQSJU3DdUK9rvlKAMRoiajW0+o4BsDzMvLi0Ln&#10;xp9pg6dtrAWXUMi1Ahtjl0sZKotOh7HvkNj79L3Tkc++lqbXZy53rZwkyZ10uiH+YHWHC4vV1/bo&#10;FKxf3IdbZrePb6/vdvG8e/Kb1fpGqeur4eEeRMQh/oXhF5/RoWSmgz+SCaJVwEOigtE0BcHubJqw&#10;cOBYmk1mIMtC/h9Q/gAAAP//AwBQSwECLQAUAAYACAAAACEAtoM4kv4AAADhAQAAEwAAAAAAAAAA&#10;AAAAAAAAAAAAW0NvbnRlbnRfVHlwZXNdLnhtbFBLAQItABQABgAIAAAAIQA4/SH/1gAAAJQBAAAL&#10;AAAAAAAAAAAAAAAAAC8BAABfcmVscy8ucmVsc1BLAQItABQABgAIAAAAIQDKAmBWeAIAAP0EAAAO&#10;AAAAAAAAAAAAAAAAAC4CAABkcnMvZTJvRG9jLnhtbFBLAQItABQABgAIAAAAIQCee+2W3wAAAAgB&#10;AAAPAAAAAAAAAAAAAAAAANIEAABkcnMvZG93bnJldi54bWxQSwUGAAAAAAQABADzAAAA3gUAAAAA&#10;" o:allowincell="f" filled="f" strokeweight="4pt"/>
            </w:pict>
          </mc:Fallback>
        </mc:AlternateContent>
      </w:r>
      <w:r w:rsidR="005249D1">
        <w:rPr>
          <w:sz w:val="30"/>
        </w:rPr>
        <w:t xml:space="preserve">WARNING: </w:t>
      </w:r>
      <w:r w:rsidR="005249D1">
        <w:rPr>
          <w:sz w:val="30"/>
          <w:u w:val="single"/>
        </w:rPr>
        <w:t>NO MATTER WHAT HAPPENS</w:t>
      </w:r>
    </w:p>
    <w:p w:rsidR="005249D1" w:rsidRDefault="005249D1">
      <w:pPr>
        <w:pStyle w:val="Heading2"/>
        <w:spacing w:after="0"/>
        <w:jc w:val="center"/>
        <w:rPr>
          <w:sz w:val="30"/>
        </w:rPr>
      </w:pPr>
      <w:r>
        <w:rPr>
          <w:sz w:val="30"/>
        </w:rPr>
        <w:t>ALWAYS KEEP THIS SCALE</w:t>
      </w:r>
    </w:p>
    <w:p w:rsidR="005249D1" w:rsidRDefault="005249D1">
      <w:pPr>
        <w:pStyle w:val="Heading2"/>
        <w:spacing w:after="0"/>
        <w:jc w:val="center"/>
        <w:rPr>
          <w:sz w:val="30"/>
        </w:rPr>
      </w:pPr>
      <w:r>
        <w:rPr>
          <w:sz w:val="30"/>
        </w:rPr>
        <w:t>IN BALANCE</w:t>
      </w:r>
    </w:p>
    <w:p w:rsidR="005249D1" w:rsidRDefault="005249D1">
      <w:pPr>
        <w:pStyle w:val="TableBody"/>
        <w:rPr>
          <w:b/>
          <w:sz w:val="26"/>
          <w:u w:val="single"/>
        </w:rPr>
      </w:pPr>
      <w:r>
        <w:t xml:space="preserve">                       </w:t>
      </w:r>
      <w:r>
        <w:object w:dxaOrig="2805" w:dyaOrig="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297.75pt" o:ole="">
            <v:imagedata r:id="rId9" o:title=""/>
          </v:shape>
          <o:OLEObject Type="Embed" ProgID="Word.Document.8" ShapeID="_x0000_i1025" DrawAspect="Content" ObjectID="_1546254757" r:id="rId10"/>
        </w:object>
      </w:r>
    </w:p>
    <w:p w:rsidR="005249D1" w:rsidRDefault="005249D1">
      <w:pPr>
        <w:pStyle w:val="Heading2"/>
        <w:jc w:val="center"/>
        <w:rPr>
          <w:sz w:val="30"/>
        </w:rPr>
      </w:pPr>
      <w:r>
        <w:rPr>
          <w:sz w:val="30"/>
        </w:rPr>
        <w:t>Basic Accounting Equation</w:t>
      </w:r>
    </w:p>
    <w:p w:rsidR="005249D1" w:rsidRDefault="005249D1">
      <w:pPr>
        <w:pStyle w:val="Heading2"/>
        <w:jc w:val="center"/>
        <w:rPr>
          <w:sz w:val="30"/>
        </w:rPr>
      </w:pPr>
      <w:r>
        <w:rPr>
          <w:sz w:val="30"/>
        </w:rPr>
        <w:t>ASSETS = LIABILITIES + EQUITY</w:t>
      </w:r>
    </w:p>
    <w:p w:rsidR="005249D1" w:rsidRDefault="005249D1">
      <w:pPr>
        <w:pStyle w:val="Heading2"/>
        <w:jc w:val="center"/>
        <w:rPr>
          <w:b w:val="0"/>
          <w:sz w:val="30"/>
          <w:u w:val="single"/>
        </w:rPr>
      </w:pPr>
      <w:r>
        <w:rPr>
          <w:b w:val="0"/>
          <w:sz w:val="30"/>
          <w:u w:val="single"/>
        </w:rPr>
        <w:t>TRANSACTION ANALYSIS RULES</w:t>
      </w:r>
    </w:p>
    <w:p w:rsidR="005249D1" w:rsidRDefault="005249D1">
      <w:pPr>
        <w:pStyle w:val="BodyText"/>
        <w:spacing w:after="0"/>
        <w:jc w:val="center"/>
        <w:rPr>
          <w:sz w:val="30"/>
        </w:rPr>
      </w:pPr>
      <w:r>
        <w:rPr>
          <w:sz w:val="30"/>
        </w:rPr>
        <w:t>1) Every transaction affects at least two items.</w:t>
      </w:r>
    </w:p>
    <w:p w:rsidR="005249D1" w:rsidRDefault="005249D1">
      <w:pPr>
        <w:pStyle w:val="BodyText"/>
        <w:jc w:val="center"/>
        <w:rPr>
          <w:sz w:val="30"/>
        </w:rPr>
      </w:pPr>
      <w:r>
        <w:rPr>
          <w:sz w:val="30"/>
        </w:rPr>
        <w:t>2) Every transaction must result in a balanced equation.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1440"/>
        <w:gridCol w:w="612"/>
        <w:gridCol w:w="1440"/>
        <w:gridCol w:w="306"/>
        <w:gridCol w:w="1440"/>
        <w:gridCol w:w="18"/>
      </w:tblGrid>
      <w:tr w:rsidR="005249D1">
        <w:trPr>
          <w:cantSplit/>
          <w:trHeight w:val="20"/>
          <w:jc w:val="center"/>
        </w:trPr>
        <w:tc>
          <w:tcPr>
            <w:tcW w:w="6696" w:type="dxa"/>
            <w:gridSpan w:val="7"/>
            <w:tcBorders>
              <w:top w:val="single" w:sz="4" w:space="0" w:color="auto"/>
              <w:bottom w:val="nil"/>
            </w:tcBorders>
          </w:tcPr>
          <w:p w:rsidR="005249D1" w:rsidRDefault="005249D1">
            <w:pPr>
              <w:pStyle w:val="TableBody"/>
              <w:jc w:val="center"/>
              <w:rPr>
                <w:sz w:val="26"/>
              </w:rPr>
            </w:pPr>
            <w:r>
              <w:rPr>
                <w:sz w:val="26"/>
                <w:u w:val="single"/>
              </w:rPr>
              <w:t>TRANSACTION ANALYSIS POSSIBILITIES</w:t>
            </w:r>
            <w:r>
              <w:rPr>
                <w:sz w:val="26"/>
              </w:rPr>
              <w:t>:</w:t>
            </w:r>
          </w:p>
        </w:tc>
      </w:tr>
      <w:tr w:rsidR="005249D1">
        <w:trPr>
          <w:gridAfter w:val="1"/>
          <w:wAfter w:w="18" w:type="dxa"/>
          <w:cantSplit/>
          <w:trHeight w:val="20"/>
          <w:jc w:val="center"/>
        </w:trPr>
        <w:tc>
          <w:tcPr>
            <w:tcW w:w="2880" w:type="dxa"/>
            <w:gridSpan w:val="2"/>
            <w:tcBorders>
              <w:top w:val="nil"/>
              <w:bottom w:val="single" w:sz="4" w:space="0" w:color="auto"/>
            </w:tcBorders>
          </w:tcPr>
          <w:p w:rsidR="005249D1" w:rsidRDefault="005249D1">
            <w:pPr>
              <w:pStyle w:val="TableBody"/>
              <w:jc w:val="center"/>
              <w:rPr>
                <w:sz w:val="26"/>
              </w:rPr>
            </w:pPr>
            <w:r>
              <w:rPr>
                <w:sz w:val="26"/>
              </w:rPr>
              <w:t>A</w:t>
            </w:r>
          </w:p>
        </w:tc>
        <w:tc>
          <w:tcPr>
            <w:tcW w:w="612" w:type="dxa"/>
          </w:tcPr>
          <w:p w:rsidR="005249D1" w:rsidRDefault="005249D1">
            <w:pPr>
              <w:pStyle w:val="TableBody"/>
              <w:jc w:val="center"/>
              <w:rPr>
                <w:sz w:val="26"/>
              </w:rPr>
            </w:pPr>
            <w:r>
              <w:rPr>
                <w:sz w:val="26"/>
              </w:rPr>
              <w:t>=</w:t>
            </w:r>
          </w:p>
        </w:tc>
        <w:tc>
          <w:tcPr>
            <w:tcW w:w="1440" w:type="dxa"/>
            <w:tcBorders>
              <w:top w:val="nil"/>
              <w:bottom w:val="single" w:sz="4" w:space="0" w:color="auto"/>
            </w:tcBorders>
          </w:tcPr>
          <w:p w:rsidR="005249D1" w:rsidRDefault="005249D1">
            <w:pPr>
              <w:pStyle w:val="TableBody"/>
              <w:jc w:val="center"/>
              <w:rPr>
                <w:sz w:val="26"/>
              </w:rPr>
            </w:pPr>
            <w:r>
              <w:rPr>
                <w:sz w:val="26"/>
              </w:rPr>
              <w:t>L</w:t>
            </w:r>
          </w:p>
        </w:tc>
        <w:tc>
          <w:tcPr>
            <w:tcW w:w="306" w:type="dxa"/>
            <w:tcBorders>
              <w:top w:val="nil"/>
              <w:bottom w:val="single" w:sz="4" w:space="0" w:color="auto"/>
            </w:tcBorders>
          </w:tcPr>
          <w:p w:rsidR="005249D1" w:rsidRDefault="005249D1">
            <w:pPr>
              <w:pStyle w:val="TableBody"/>
              <w:jc w:val="center"/>
              <w:rPr>
                <w:sz w:val="26"/>
              </w:rPr>
            </w:pPr>
            <w:r>
              <w:rPr>
                <w:sz w:val="26"/>
              </w:rPr>
              <w:t>+</w:t>
            </w:r>
          </w:p>
        </w:tc>
        <w:tc>
          <w:tcPr>
            <w:tcW w:w="1440" w:type="dxa"/>
            <w:tcBorders>
              <w:top w:val="nil"/>
              <w:bottom w:val="single" w:sz="4" w:space="0" w:color="auto"/>
            </w:tcBorders>
          </w:tcPr>
          <w:p w:rsidR="005249D1" w:rsidRDefault="005249D1">
            <w:pPr>
              <w:pStyle w:val="TableBody"/>
              <w:jc w:val="center"/>
              <w:rPr>
                <w:sz w:val="26"/>
              </w:rPr>
            </w:pPr>
            <w:r>
              <w:rPr>
                <w:sz w:val="26"/>
              </w:rPr>
              <w:t>OE</w:t>
            </w:r>
          </w:p>
        </w:tc>
      </w:tr>
      <w:tr w:rsidR="005249D1">
        <w:trPr>
          <w:gridAfter w:val="1"/>
          <w:wAfter w:w="18" w:type="dxa"/>
          <w:cantSplit/>
          <w:trHeight w:val="20"/>
          <w:jc w:val="center"/>
        </w:trPr>
        <w:tc>
          <w:tcPr>
            <w:tcW w:w="1440" w:type="dxa"/>
            <w:tcBorders>
              <w:top w:val="nil"/>
            </w:tcBorders>
          </w:tcPr>
          <w:p w:rsidR="005249D1" w:rsidRDefault="005249D1">
            <w:pPr>
              <w:pStyle w:val="TableBody"/>
              <w:jc w:val="right"/>
              <w:rPr>
                <w:sz w:val="26"/>
              </w:rPr>
            </w:pPr>
            <w:r>
              <w:rPr>
                <w:sz w:val="26"/>
              </w:rPr>
              <w:t>(1)</w:t>
            </w:r>
          </w:p>
        </w:tc>
        <w:tc>
          <w:tcPr>
            <w:tcW w:w="1440" w:type="dxa"/>
            <w:tcBorders>
              <w:top w:val="nil"/>
            </w:tcBorders>
          </w:tcPr>
          <w:p w:rsidR="005249D1" w:rsidRDefault="005249D1">
            <w:pPr>
              <w:pStyle w:val="TableBody"/>
              <w:jc w:val="center"/>
              <w:rPr>
                <w:sz w:val="26"/>
              </w:rPr>
            </w:pPr>
            <w:r>
              <w:rPr>
                <w:sz w:val="26"/>
              </w:rPr>
              <w:t>+</w:t>
            </w:r>
          </w:p>
        </w:tc>
        <w:tc>
          <w:tcPr>
            <w:tcW w:w="612" w:type="dxa"/>
          </w:tcPr>
          <w:p w:rsidR="005249D1" w:rsidRDefault="005249D1">
            <w:pPr>
              <w:pStyle w:val="TableBody"/>
              <w:rPr>
                <w:sz w:val="26"/>
              </w:rPr>
            </w:pPr>
            <w:r>
              <w:rPr>
                <w:sz w:val="26"/>
              </w:rPr>
              <w:t>and</w:t>
            </w:r>
          </w:p>
        </w:tc>
        <w:tc>
          <w:tcPr>
            <w:tcW w:w="3186" w:type="dxa"/>
            <w:gridSpan w:val="3"/>
            <w:tcBorders>
              <w:top w:val="nil"/>
            </w:tcBorders>
          </w:tcPr>
          <w:p w:rsidR="005249D1" w:rsidRDefault="005249D1">
            <w:pPr>
              <w:pStyle w:val="TableBody"/>
              <w:jc w:val="center"/>
              <w:rPr>
                <w:sz w:val="26"/>
              </w:rPr>
            </w:pPr>
            <w:r>
              <w:rPr>
                <w:sz w:val="26"/>
              </w:rPr>
              <w:t>+</w:t>
            </w:r>
          </w:p>
        </w:tc>
      </w:tr>
      <w:tr w:rsidR="005249D1">
        <w:trPr>
          <w:gridAfter w:val="1"/>
          <w:wAfter w:w="18" w:type="dxa"/>
          <w:cantSplit/>
          <w:trHeight w:val="20"/>
          <w:jc w:val="center"/>
        </w:trPr>
        <w:tc>
          <w:tcPr>
            <w:tcW w:w="1440" w:type="dxa"/>
          </w:tcPr>
          <w:p w:rsidR="005249D1" w:rsidRDefault="005249D1">
            <w:pPr>
              <w:pStyle w:val="TableBody"/>
              <w:jc w:val="right"/>
              <w:rPr>
                <w:sz w:val="26"/>
              </w:rPr>
            </w:pPr>
            <w:r>
              <w:rPr>
                <w:sz w:val="26"/>
              </w:rPr>
              <w:t>OR(2)</w:t>
            </w:r>
          </w:p>
        </w:tc>
        <w:tc>
          <w:tcPr>
            <w:tcW w:w="1440" w:type="dxa"/>
          </w:tcPr>
          <w:p w:rsidR="005249D1" w:rsidRDefault="005249D1">
            <w:pPr>
              <w:pStyle w:val="TableBody"/>
              <w:jc w:val="center"/>
              <w:rPr>
                <w:sz w:val="26"/>
              </w:rPr>
            </w:pPr>
            <w:r>
              <w:rPr>
                <w:sz w:val="26"/>
              </w:rPr>
              <w:t>-</w:t>
            </w:r>
          </w:p>
        </w:tc>
        <w:tc>
          <w:tcPr>
            <w:tcW w:w="612" w:type="dxa"/>
          </w:tcPr>
          <w:p w:rsidR="005249D1" w:rsidRDefault="005249D1">
            <w:pPr>
              <w:pStyle w:val="TableBody"/>
              <w:rPr>
                <w:sz w:val="26"/>
              </w:rPr>
            </w:pPr>
            <w:r>
              <w:rPr>
                <w:sz w:val="26"/>
              </w:rPr>
              <w:t>and</w:t>
            </w:r>
          </w:p>
        </w:tc>
        <w:tc>
          <w:tcPr>
            <w:tcW w:w="3186" w:type="dxa"/>
            <w:gridSpan w:val="3"/>
          </w:tcPr>
          <w:p w:rsidR="005249D1" w:rsidRDefault="005249D1">
            <w:pPr>
              <w:pStyle w:val="TableBody"/>
              <w:jc w:val="center"/>
              <w:rPr>
                <w:sz w:val="26"/>
              </w:rPr>
            </w:pPr>
            <w:r>
              <w:rPr>
                <w:sz w:val="26"/>
              </w:rPr>
              <w:t>-</w:t>
            </w:r>
          </w:p>
        </w:tc>
      </w:tr>
      <w:tr w:rsidR="005249D1">
        <w:trPr>
          <w:gridAfter w:val="1"/>
          <w:wAfter w:w="18" w:type="dxa"/>
          <w:cantSplit/>
          <w:trHeight w:val="20"/>
          <w:jc w:val="center"/>
        </w:trPr>
        <w:tc>
          <w:tcPr>
            <w:tcW w:w="1440" w:type="dxa"/>
          </w:tcPr>
          <w:p w:rsidR="005249D1" w:rsidRDefault="005249D1">
            <w:pPr>
              <w:pStyle w:val="TableBody"/>
              <w:jc w:val="right"/>
              <w:rPr>
                <w:sz w:val="26"/>
              </w:rPr>
            </w:pPr>
            <w:r>
              <w:rPr>
                <w:sz w:val="26"/>
              </w:rPr>
              <w:t>OR(3)</w:t>
            </w:r>
          </w:p>
        </w:tc>
        <w:tc>
          <w:tcPr>
            <w:tcW w:w="1440" w:type="dxa"/>
          </w:tcPr>
          <w:p w:rsidR="005249D1" w:rsidRDefault="005249D1">
            <w:pPr>
              <w:pStyle w:val="TableBody"/>
              <w:jc w:val="center"/>
              <w:rPr>
                <w:sz w:val="26"/>
              </w:rPr>
            </w:pPr>
            <w:r>
              <w:rPr>
                <w:sz w:val="26"/>
              </w:rPr>
              <w:t>+ and -</w:t>
            </w:r>
          </w:p>
        </w:tc>
        <w:tc>
          <w:tcPr>
            <w:tcW w:w="612" w:type="dxa"/>
          </w:tcPr>
          <w:p w:rsidR="005249D1" w:rsidRDefault="005249D1">
            <w:pPr>
              <w:pStyle w:val="TableBody"/>
              <w:rPr>
                <w:sz w:val="26"/>
              </w:rPr>
            </w:pPr>
            <w:r>
              <w:rPr>
                <w:sz w:val="26"/>
              </w:rPr>
              <w:t>and</w:t>
            </w:r>
          </w:p>
        </w:tc>
        <w:tc>
          <w:tcPr>
            <w:tcW w:w="3186" w:type="dxa"/>
            <w:gridSpan w:val="3"/>
          </w:tcPr>
          <w:p w:rsidR="005249D1" w:rsidRDefault="005249D1">
            <w:pPr>
              <w:pStyle w:val="TableBody"/>
              <w:jc w:val="center"/>
              <w:rPr>
                <w:sz w:val="26"/>
              </w:rPr>
            </w:pPr>
            <w:r>
              <w:rPr>
                <w:sz w:val="26"/>
              </w:rPr>
              <w:t>No change</w:t>
            </w:r>
          </w:p>
        </w:tc>
      </w:tr>
      <w:tr w:rsidR="005249D1">
        <w:trPr>
          <w:gridAfter w:val="1"/>
          <w:wAfter w:w="18" w:type="dxa"/>
          <w:cantSplit/>
          <w:trHeight w:val="20"/>
          <w:jc w:val="center"/>
        </w:trPr>
        <w:tc>
          <w:tcPr>
            <w:tcW w:w="1440" w:type="dxa"/>
          </w:tcPr>
          <w:p w:rsidR="005249D1" w:rsidRDefault="005249D1">
            <w:pPr>
              <w:pStyle w:val="TableBody"/>
              <w:jc w:val="right"/>
              <w:rPr>
                <w:sz w:val="26"/>
              </w:rPr>
            </w:pPr>
            <w:r>
              <w:rPr>
                <w:sz w:val="26"/>
              </w:rPr>
              <w:t>OR(4)</w:t>
            </w:r>
          </w:p>
        </w:tc>
        <w:tc>
          <w:tcPr>
            <w:tcW w:w="1440" w:type="dxa"/>
          </w:tcPr>
          <w:p w:rsidR="005249D1" w:rsidRDefault="005249D1">
            <w:pPr>
              <w:pStyle w:val="TableBody"/>
              <w:jc w:val="center"/>
              <w:rPr>
                <w:sz w:val="26"/>
              </w:rPr>
            </w:pPr>
            <w:r>
              <w:rPr>
                <w:sz w:val="26"/>
              </w:rPr>
              <w:t>No change</w:t>
            </w:r>
          </w:p>
        </w:tc>
        <w:tc>
          <w:tcPr>
            <w:tcW w:w="612" w:type="dxa"/>
          </w:tcPr>
          <w:p w:rsidR="005249D1" w:rsidRDefault="005249D1">
            <w:pPr>
              <w:pStyle w:val="TableBody"/>
              <w:rPr>
                <w:sz w:val="26"/>
              </w:rPr>
            </w:pPr>
            <w:r>
              <w:rPr>
                <w:sz w:val="26"/>
              </w:rPr>
              <w:t>and</w:t>
            </w:r>
          </w:p>
        </w:tc>
        <w:tc>
          <w:tcPr>
            <w:tcW w:w="3186" w:type="dxa"/>
            <w:gridSpan w:val="3"/>
          </w:tcPr>
          <w:p w:rsidR="005249D1" w:rsidRDefault="005249D1">
            <w:pPr>
              <w:pStyle w:val="TableBody"/>
              <w:jc w:val="center"/>
              <w:rPr>
                <w:sz w:val="26"/>
              </w:rPr>
            </w:pPr>
            <w:r>
              <w:rPr>
                <w:sz w:val="26"/>
              </w:rPr>
              <w:t>+ and -</w:t>
            </w:r>
          </w:p>
        </w:tc>
      </w:tr>
    </w:tbl>
    <w:p w:rsidR="005249D1" w:rsidRDefault="005249D1" w:rsidP="008663D6">
      <w:pPr>
        <w:pStyle w:val="Outline1"/>
        <w:tabs>
          <w:tab w:val="left" w:pos="5670"/>
        </w:tabs>
        <w:ind w:left="0" w:right="2160" w:firstLine="0"/>
      </w:pPr>
    </w:p>
    <w:sectPr w:rsidR="005249D1" w:rsidSect="0042709E">
      <w:headerReference w:type="default" r:id="rId11"/>
      <w:footerReference w:type="even" r:id="rId12"/>
      <w:footerReference w:type="default" r:id="rId13"/>
      <w:pgSz w:w="12240" w:h="15840" w:code="1"/>
      <w:pgMar w:top="1080" w:right="1440" w:bottom="1080" w:left="1440" w:header="72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0E" w:rsidRDefault="0066650E">
      <w:r>
        <w:separator/>
      </w:r>
    </w:p>
  </w:endnote>
  <w:endnote w:type="continuationSeparator" w:id="0">
    <w:p w:rsidR="0066650E" w:rsidRDefault="0066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venirLTPro-Heavy">
    <w:altName w:val="Times New Roman"/>
    <w:charset w:val="00"/>
    <w:family w:val="auto"/>
    <w:pitch w:val="default"/>
  </w:font>
  <w:font w:name="AvenirLTPro-Light">
    <w:altName w:val="Times New Roman"/>
    <w:charset w:val="00"/>
    <w:family w:val="auto"/>
    <w:pitch w:val="default"/>
  </w:font>
  <w:font w:name="MemphisLTPro-Medium">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2F" w:rsidRPr="00104FB2" w:rsidRDefault="00463F2F" w:rsidP="00104FB2">
    <w:pPr>
      <w:widowControl w:val="0"/>
      <w:autoSpaceDE w:val="0"/>
      <w:autoSpaceDN w:val="0"/>
      <w:ind w:right="360"/>
      <w:rPr>
        <w:sz w:val="20"/>
      </w:rPr>
    </w:pPr>
    <w:r w:rsidRPr="00104FB2">
      <w:rPr>
        <w:snapToGrid w:val="0"/>
        <w:color w:val="000000"/>
        <w:sz w:val="16"/>
        <w:szCs w:val="16"/>
      </w:rPr>
      <w:t xml:space="preserve">© 2013 by McGraw-Hill Education. This is proprietary material solely for authorized instructor use. Not authorized for sale or distribution in any manner. This document may not be copied, scanned, duplicated, forwarded, distributed, or posted on a website, in whole or part.  </w:t>
    </w:r>
  </w:p>
  <w:p w:rsidR="00463F2F" w:rsidRDefault="00463F2F">
    <w:pPr>
      <w:pStyle w:val="Footer"/>
      <w:tabs>
        <w:tab w:val="clear" w:pos="8640"/>
        <w:tab w:val="right" w:pos="9360"/>
      </w:tabs>
      <w:ind w:right="360"/>
      <w:jc w:val="left"/>
      <w:rPr>
        <w:i/>
        <w:u w:val="single"/>
      </w:rPr>
    </w:pPr>
    <w:r>
      <w:rPr>
        <w:i/>
        <w:u w:val="single"/>
      </w:rPr>
      <w:tab/>
    </w:r>
    <w:r>
      <w:rPr>
        <w:i/>
        <w:u w:val="single"/>
      </w:rPr>
      <w:tab/>
    </w:r>
  </w:p>
  <w:p w:rsidR="00463F2F" w:rsidRDefault="00463F2F">
    <w:pPr>
      <w:pStyle w:val="Footer"/>
      <w:tabs>
        <w:tab w:val="clear" w:pos="8640"/>
        <w:tab w:val="right" w:pos="9360"/>
      </w:tabs>
      <w:ind w:right="360"/>
      <w:jc w:val="left"/>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12</w:t>
    </w:r>
    <w:r>
      <w:rPr>
        <w:rStyle w:val="PageNumber"/>
        <w:i/>
      </w:rPr>
      <w:fldChar w:fldCharType="end"/>
    </w:r>
    <w:r>
      <w:rPr>
        <w:rStyle w:val="PageNumber"/>
        <w:i/>
      </w:rPr>
      <w:tab/>
    </w:r>
    <w:r>
      <w:rPr>
        <w:rStyle w:val="PageNumber"/>
        <w:i/>
      </w:rPr>
      <w:tab/>
      <w:t>Fundamental Accounting Principles, 21/e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EF" w:rsidRDefault="00463F2F" w:rsidP="00E11AEF">
    <w:pPr>
      <w:pStyle w:val="Footer"/>
      <w:ind w:left="90" w:hanging="90"/>
      <w:rPr>
        <w:color w:val="000000"/>
        <w:sz w:val="16"/>
        <w:szCs w:val="16"/>
      </w:rPr>
    </w:pPr>
    <w:r w:rsidRPr="00E71D97">
      <w:rPr>
        <w:color w:val="000000"/>
        <w:sz w:val="16"/>
        <w:szCs w:val="16"/>
      </w:rPr>
      <w:t>Copyright</w:t>
    </w:r>
    <w:r>
      <w:rPr>
        <w:color w:val="000000"/>
        <w:sz w:val="16"/>
        <w:szCs w:val="16"/>
      </w:rPr>
      <w:t xml:space="preserve"> © </w:t>
    </w:r>
    <w:r w:rsidR="00E11AEF">
      <w:rPr>
        <w:color w:val="000000"/>
        <w:sz w:val="16"/>
        <w:szCs w:val="16"/>
      </w:rPr>
      <w:t>201</w:t>
    </w:r>
    <w:r w:rsidR="00E11AEF">
      <w:rPr>
        <w:color w:val="000000"/>
        <w:sz w:val="16"/>
        <w:szCs w:val="16"/>
      </w:rPr>
      <w:t>8</w:t>
    </w:r>
    <w:r w:rsidR="00E11AEF">
      <w:rPr>
        <w:color w:val="000000"/>
        <w:sz w:val="16"/>
        <w:szCs w:val="16"/>
      </w:rPr>
      <w:t xml:space="preserve"> </w:t>
    </w:r>
    <w:r>
      <w:rPr>
        <w:color w:val="000000"/>
        <w:sz w:val="16"/>
        <w:szCs w:val="16"/>
      </w:rPr>
      <w:t>McGraw-Hill Education. </w:t>
    </w:r>
    <w:r w:rsidRPr="00E71D97">
      <w:rPr>
        <w:color w:val="000000"/>
        <w:sz w:val="16"/>
        <w:szCs w:val="16"/>
      </w:rPr>
      <w:t xml:space="preserve">All rights reserved. </w:t>
    </w:r>
  </w:p>
  <w:p w:rsidR="00463F2F" w:rsidRPr="00E71D97" w:rsidRDefault="00463F2F" w:rsidP="00E11AEF">
    <w:pPr>
      <w:pStyle w:val="Footer"/>
      <w:ind w:left="90" w:hanging="90"/>
      <w:rPr>
        <w:color w:val="000000"/>
        <w:sz w:val="22"/>
        <w:szCs w:val="22"/>
      </w:rPr>
    </w:pPr>
    <w:r w:rsidRPr="00E71D97">
      <w:rPr>
        <w:color w:val="000000"/>
        <w:sz w:val="16"/>
        <w:szCs w:val="16"/>
      </w:rPr>
      <w:t>No reproduction or distribution without the prior written consent of McGraw-Hill Education</w:t>
    </w:r>
    <w:r w:rsidRPr="00E71D97">
      <w:rPr>
        <w:color w:val="000000"/>
        <w:sz w:val="22"/>
        <w:szCs w:val="22"/>
      </w:rPr>
      <w:t>.</w:t>
    </w:r>
  </w:p>
  <w:p w:rsidR="00463F2F" w:rsidRDefault="00463F2F" w:rsidP="00E11AEF">
    <w:pPr>
      <w:pStyle w:val="Footer"/>
      <w:ind w:left="90" w:hanging="90"/>
    </w:pPr>
    <w:r>
      <w:t>1-</w:t>
    </w:r>
    <w:r>
      <w:fldChar w:fldCharType="begin"/>
    </w:r>
    <w:r>
      <w:instrText xml:space="preserve"> PAGE   \* MERGEFORMAT </w:instrText>
    </w:r>
    <w:r>
      <w:fldChar w:fldCharType="separate"/>
    </w:r>
    <w:r w:rsidR="00E11A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0E" w:rsidRDefault="0066650E">
      <w:r>
        <w:separator/>
      </w:r>
    </w:p>
  </w:footnote>
  <w:footnote w:type="continuationSeparator" w:id="0">
    <w:p w:rsidR="0066650E" w:rsidRDefault="0066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2F" w:rsidRDefault="00463F2F" w:rsidP="00131400">
    <w:pPr>
      <w:pStyle w:val="Header"/>
      <w:jc w:val="center"/>
      <w:rPr>
        <w:rFonts w:ascii="Arial" w:hAnsi="Arial" w:cs="Arial"/>
        <w:b/>
      </w:rPr>
    </w:pPr>
    <w:r>
      <w:t xml:space="preserve">Wild, Shaw &amp; </w:t>
    </w:r>
    <w:proofErr w:type="spellStart"/>
    <w:r>
      <w:t>Chiappetta</w:t>
    </w:r>
    <w:proofErr w:type="spellEnd"/>
    <w:r>
      <w:t>: Financial and Managerial Accounting, 7</w:t>
    </w:r>
    <w:r w:rsidRPr="00C465B6">
      <w:rPr>
        <w:vertAlign w:val="superscript"/>
      </w:rPr>
      <w:t>th</w:t>
    </w:r>
    <w:r>
      <w:t xml:space="preserve"> Edition</w:t>
    </w:r>
  </w:p>
  <w:p w:rsidR="00463F2F" w:rsidRDefault="00463F2F">
    <w:pPr>
      <w:pStyle w:val="Header"/>
    </w:pPr>
  </w:p>
  <w:p w:rsidR="00463F2F" w:rsidRDefault="00463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4168"/>
    <w:multiLevelType w:val="hybridMultilevel"/>
    <w:tmpl w:val="E7AAE4E2"/>
    <w:lvl w:ilvl="0" w:tplc="DF324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D11D51"/>
    <w:multiLevelType w:val="singleLevel"/>
    <w:tmpl w:val="5512037C"/>
    <w:lvl w:ilvl="0">
      <w:start w:val="2"/>
      <w:numFmt w:val="upperLetter"/>
      <w:lvlText w:val="%1."/>
      <w:lvlJc w:val="left"/>
      <w:pPr>
        <w:tabs>
          <w:tab w:val="num" w:pos="1080"/>
        </w:tabs>
        <w:ind w:left="1080" w:hanging="360"/>
      </w:pPr>
      <w:rPr>
        <w:rFonts w:hint="default"/>
      </w:rPr>
    </w:lvl>
  </w:abstractNum>
  <w:abstractNum w:abstractNumId="2">
    <w:nsid w:val="0EBF6DF9"/>
    <w:multiLevelType w:val="singleLevel"/>
    <w:tmpl w:val="7AB27C1A"/>
    <w:lvl w:ilvl="0">
      <w:start w:val="1"/>
      <w:numFmt w:val="decimal"/>
      <w:lvlText w:val="%1."/>
      <w:lvlJc w:val="left"/>
      <w:pPr>
        <w:tabs>
          <w:tab w:val="num" w:pos="1440"/>
        </w:tabs>
        <w:ind w:left="1440" w:hanging="360"/>
      </w:pPr>
      <w:rPr>
        <w:rFonts w:hint="default"/>
      </w:rPr>
    </w:lvl>
  </w:abstractNum>
  <w:abstractNum w:abstractNumId="3">
    <w:nsid w:val="117E3A7F"/>
    <w:multiLevelType w:val="hybridMultilevel"/>
    <w:tmpl w:val="8E1C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108F1"/>
    <w:multiLevelType w:val="hybridMultilevel"/>
    <w:tmpl w:val="2034CA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D2DCE"/>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E56E69"/>
    <w:multiLevelType w:val="hybridMultilevel"/>
    <w:tmpl w:val="E0CA6476"/>
    <w:lvl w:ilvl="0" w:tplc="B3ECFC9E">
      <w:start w:val="1"/>
      <w:numFmt w:val="bullet"/>
      <w:lvlText w:val=""/>
      <w:lvlJc w:val="left"/>
      <w:pPr>
        <w:tabs>
          <w:tab w:val="num" w:pos="360"/>
        </w:tabs>
        <w:ind w:left="720" w:hanging="360"/>
      </w:pPr>
      <w:rPr>
        <w:rFonts w:ascii="Symbol" w:hAnsi="Symbol" w:hint="default"/>
        <w:color w:val="auto"/>
      </w:rPr>
    </w:lvl>
    <w:lvl w:ilvl="1" w:tplc="0364921A">
      <w:start w:val="1"/>
      <w:numFmt w:val="bullet"/>
      <w:lvlText w:val=""/>
      <w:lvlJc w:val="left"/>
      <w:pPr>
        <w:tabs>
          <w:tab w:val="num" w:pos="1296"/>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B94BB3"/>
    <w:multiLevelType w:val="hybridMultilevel"/>
    <w:tmpl w:val="88E2C73A"/>
    <w:lvl w:ilvl="0" w:tplc="8734631C">
      <w:start w:val="3"/>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nsid w:val="1E875C8F"/>
    <w:multiLevelType w:val="hybridMultilevel"/>
    <w:tmpl w:val="C7DE36C2"/>
    <w:lvl w:ilvl="0" w:tplc="F41CA17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8353561"/>
    <w:multiLevelType w:val="hybridMultilevel"/>
    <w:tmpl w:val="2EF24A1E"/>
    <w:lvl w:ilvl="0" w:tplc="647EC60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9B39FC"/>
    <w:multiLevelType w:val="hybridMultilevel"/>
    <w:tmpl w:val="3866EE64"/>
    <w:lvl w:ilvl="0" w:tplc="829AB3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ED62F3"/>
    <w:multiLevelType w:val="hybridMultilevel"/>
    <w:tmpl w:val="8FEE3210"/>
    <w:lvl w:ilvl="0" w:tplc="90B051F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1F7127A"/>
    <w:multiLevelType w:val="hybridMultilevel"/>
    <w:tmpl w:val="616E149A"/>
    <w:lvl w:ilvl="0" w:tplc="035A1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A17BD6"/>
    <w:multiLevelType w:val="hybridMultilevel"/>
    <w:tmpl w:val="8EF27AF4"/>
    <w:lvl w:ilvl="0" w:tplc="08AC0E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140A8F"/>
    <w:multiLevelType w:val="hybridMultilevel"/>
    <w:tmpl w:val="3C7CF500"/>
    <w:lvl w:ilvl="0" w:tplc="B29EC926">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7324132"/>
    <w:multiLevelType w:val="singleLevel"/>
    <w:tmpl w:val="B9324990"/>
    <w:lvl w:ilvl="0">
      <w:start w:val="1"/>
      <w:numFmt w:val="upperLetter"/>
      <w:lvlText w:val="%1."/>
      <w:lvlJc w:val="left"/>
      <w:pPr>
        <w:tabs>
          <w:tab w:val="num" w:pos="1080"/>
        </w:tabs>
        <w:ind w:left="1080" w:hanging="360"/>
      </w:pPr>
      <w:rPr>
        <w:rFonts w:hint="default"/>
      </w:rPr>
    </w:lvl>
  </w:abstractNum>
  <w:abstractNum w:abstractNumId="16">
    <w:nsid w:val="40CA5058"/>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C43A3C"/>
    <w:multiLevelType w:val="singleLevel"/>
    <w:tmpl w:val="87AEC2FC"/>
    <w:lvl w:ilvl="0">
      <w:start w:val="8"/>
      <w:numFmt w:val="decimal"/>
      <w:lvlText w:val="%1."/>
      <w:lvlJc w:val="left"/>
      <w:pPr>
        <w:tabs>
          <w:tab w:val="num" w:pos="1440"/>
        </w:tabs>
        <w:ind w:left="1440" w:hanging="360"/>
      </w:pPr>
      <w:rPr>
        <w:rFonts w:hint="default"/>
      </w:rPr>
    </w:lvl>
  </w:abstractNum>
  <w:abstractNum w:abstractNumId="18">
    <w:nsid w:val="466E1CE2"/>
    <w:multiLevelType w:val="singleLevel"/>
    <w:tmpl w:val="705048D8"/>
    <w:lvl w:ilvl="0">
      <w:start w:val="1"/>
      <w:numFmt w:val="upperRoman"/>
      <w:lvlText w:val="%1."/>
      <w:lvlJc w:val="left"/>
      <w:pPr>
        <w:tabs>
          <w:tab w:val="num" w:pos="720"/>
        </w:tabs>
        <w:ind w:left="720" w:hanging="720"/>
      </w:pPr>
      <w:rPr>
        <w:rFonts w:hint="default"/>
      </w:rPr>
    </w:lvl>
  </w:abstractNum>
  <w:abstractNum w:abstractNumId="19">
    <w:nsid w:val="4CF17400"/>
    <w:multiLevelType w:val="hybridMultilevel"/>
    <w:tmpl w:val="1EF034A4"/>
    <w:lvl w:ilvl="0" w:tplc="57E2CC88">
      <w:start w:val="1"/>
      <w:numFmt w:val="decimal"/>
      <w:lvlText w:val="%1."/>
      <w:lvlJc w:val="left"/>
      <w:pPr>
        <w:ind w:left="144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B0315A"/>
    <w:multiLevelType w:val="hybridMultilevel"/>
    <w:tmpl w:val="3130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4A6CFB"/>
    <w:multiLevelType w:val="hybridMultilevel"/>
    <w:tmpl w:val="B4CA4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5B405F"/>
    <w:multiLevelType w:val="hybridMultilevel"/>
    <w:tmpl w:val="C66810FA"/>
    <w:lvl w:ilvl="0" w:tplc="647EC600">
      <w:start w:val="1"/>
      <w:numFmt w:val="decimal"/>
      <w:lvlText w:val="%1."/>
      <w:lvlJc w:val="left"/>
      <w:pPr>
        <w:tabs>
          <w:tab w:val="num" w:pos="1440"/>
        </w:tabs>
        <w:ind w:left="1440" w:hanging="360"/>
      </w:pPr>
      <w:rPr>
        <w:rFonts w:hint="default"/>
      </w:rPr>
    </w:lvl>
    <w:lvl w:ilvl="1" w:tplc="89C84484">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77A3277"/>
    <w:multiLevelType w:val="hybridMultilevel"/>
    <w:tmpl w:val="D76E1E72"/>
    <w:lvl w:ilvl="0" w:tplc="C23ACEB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64B25EAE"/>
    <w:multiLevelType w:val="hybridMultilevel"/>
    <w:tmpl w:val="189440A4"/>
    <w:lvl w:ilvl="0" w:tplc="DF32405E">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E00D8D"/>
    <w:multiLevelType w:val="hybridMultilevel"/>
    <w:tmpl w:val="E52A3FE2"/>
    <w:lvl w:ilvl="0" w:tplc="5C50D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083457"/>
    <w:multiLevelType w:val="hybridMultilevel"/>
    <w:tmpl w:val="B7A25666"/>
    <w:lvl w:ilvl="0" w:tplc="AFC4A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E8399C"/>
    <w:multiLevelType w:val="hybridMultilevel"/>
    <w:tmpl w:val="5F7C8A20"/>
    <w:lvl w:ilvl="0" w:tplc="5CE648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74C216AD"/>
    <w:multiLevelType w:val="singleLevel"/>
    <w:tmpl w:val="5512037C"/>
    <w:lvl w:ilvl="0">
      <w:start w:val="2"/>
      <w:numFmt w:val="upperLetter"/>
      <w:lvlText w:val="%1."/>
      <w:lvlJc w:val="left"/>
      <w:pPr>
        <w:tabs>
          <w:tab w:val="num" w:pos="1080"/>
        </w:tabs>
        <w:ind w:left="1080" w:hanging="360"/>
      </w:pPr>
      <w:rPr>
        <w:rFonts w:hint="default"/>
      </w:rPr>
    </w:lvl>
  </w:abstractNum>
  <w:abstractNum w:abstractNumId="29">
    <w:nsid w:val="7BB07552"/>
    <w:multiLevelType w:val="hybridMultilevel"/>
    <w:tmpl w:val="B0043A1C"/>
    <w:lvl w:ilvl="0" w:tplc="2338630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8"/>
  </w:num>
  <w:num w:numId="3">
    <w:abstractNumId w:val="18"/>
  </w:num>
  <w:num w:numId="4">
    <w:abstractNumId w:val="2"/>
  </w:num>
  <w:num w:numId="5">
    <w:abstractNumId w:val="8"/>
  </w:num>
  <w:num w:numId="6">
    <w:abstractNumId w:val="27"/>
  </w:num>
  <w:num w:numId="7">
    <w:abstractNumId w:val="29"/>
  </w:num>
  <w:num w:numId="8">
    <w:abstractNumId w:val="5"/>
  </w:num>
  <w:num w:numId="9">
    <w:abstractNumId w:val="22"/>
  </w:num>
  <w:num w:numId="10">
    <w:abstractNumId w:val="17"/>
  </w:num>
  <w:num w:numId="11">
    <w:abstractNumId w:val="10"/>
  </w:num>
  <w:num w:numId="12">
    <w:abstractNumId w:val="21"/>
  </w:num>
  <w:num w:numId="13">
    <w:abstractNumId w:val="11"/>
  </w:num>
  <w:num w:numId="14">
    <w:abstractNumId w:val="13"/>
  </w:num>
  <w:num w:numId="15">
    <w:abstractNumId w:val="4"/>
  </w:num>
  <w:num w:numId="16">
    <w:abstractNumId w:val="26"/>
  </w:num>
  <w:num w:numId="17">
    <w:abstractNumId w:val="12"/>
  </w:num>
  <w:num w:numId="18">
    <w:abstractNumId w:val="9"/>
  </w:num>
  <w:num w:numId="19">
    <w:abstractNumId w:val="6"/>
  </w:num>
  <w:num w:numId="20">
    <w:abstractNumId w:val="3"/>
  </w:num>
  <w:num w:numId="21">
    <w:abstractNumId w:val="1"/>
  </w:num>
  <w:num w:numId="22">
    <w:abstractNumId w:val="14"/>
  </w:num>
  <w:num w:numId="23">
    <w:abstractNumId w:val="7"/>
  </w:num>
  <w:num w:numId="24">
    <w:abstractNumId w:val="25"/>
  </w:num>
  <w:num w:numId="25">
    <w:abstractNumId w:val="16"/>
  </w:num>
  <w:num w:numId="26">
    <w:abstractNumId w:val="24"/>
  </w:num>
  <w:num w:numId="27">
    <w:abstractNumId w:val="0"/>
  </w:num>
  <w:num w:numId="28">
    <w:abstractNumId w:val="23"/>
  </w:num>
  <w:num w:numId="29">
    <w:abstractNumId w:val="19"/>
  </w:num>
  <w:num w:numId="30">
    <w:abstractNumId w:val="2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Mohr">
    <w15:presenceInfo w15:providerId="Windows Live" w15:userId="7b72c516747e0722"/>
  </w15:person>
  <w15:person w15:author="amohr">
    <w15:presenceInfo w15:providerId="None" w15:userId="amo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39"/>
    <w:rsid w:val="000243F6"/>
    <w:rsid w:val="000327A2"/>
    <w:rsid w:val="0004068C"/>
    <w:rsid w:val="00075C9E"/>
    <w:rsid w:val="000900C3"/>
    <w:rsid w:val="000935AB"/>
    <w:rsid w:val="000D73F2"/>
    <w:rsid w:val="000E4EF3"/>
    <w:rsid w:val="00104FB2"/>
    <w:rsid w:val="00131400"/>
    <w:rsid w:val="0013210F"/>
    <w:rsid w:val="0017736A"/>
    <w:rsid w:val="00195AC9"/>
    <w:rsid w:val="00197FE4"/>
    <w:rsid w:val="001A3DAF"/>
    <w:rsid w:val="001D3CCA"/>
    <w:rsid w:val="001D5B59"/>
    <w:rsid w:val="001F1EA9"/>
    <w:rsid w:val="001F3083"/>
    <w:rsid w:val="002376EA"/>
    <w:rsid w:val="00251A77"/>
    <w:rsid w:val="0025228F"/>
    <w:rsid w:val="002673DA"/>
    <w:rsid w:val="00271D5E"/>
    <w:rsid w:val="00291D3C"/>
    <w:rsid w:val="002B7A65"/>
    <w:rsid w:val="002D21D9"/>
    <w:rsid w:val="002E66BA"/>
    <w:rsid w:val="0030349B"/>
    <w:rsid w:val="00376B91"/>
    <w:rsid w:val="00387B9B"/>
    <w:rsid w:val="003B0919"/>
    <w:rsid w:val="003B4877"/>
    <w:rsid w:val="003C2A8A"/>
    <w:rsid w:val="003D615C"/>
    <w:rsid w:val="003F4C19"/>
    <w:rsid w:val="0042709E"/>
    <w:rsid w:val="0044665B"/>
    <w:rsid w:val="00457D72"/>
    <w:rsid w:val="00463F2F"/>
    <w:rsid w:val="00467C9B"/>
    <w:rsid w:val="004751A4"/>
    <w:rsid w:val="00481791"/>
    <w:rsid w:val="004C44DB"/>
    <w:rsid w:val="004C5AE1"/>
    <w:rsid w:val="004F3B42"/>
    <w:rsid w:val="005249D1"/>
    <w:rsid w:val="00533731"/>
    <w:rsid w:val="005635B3"/>
    <w:rsid w:val="00580A82"/>
    <w:rsid w:val="00581AD8"/>
    <w:rsid w:val="00581EBD"/>
    <w:rsid w:val="005847C3"/>
    <w:rsid w:val="00586EB1"/>
    <w:rsid w:val="00594BD9"/>
    <w:rsid w:val="005A1283"/>
    <w:rsid w:val="005A4F72"/>
    <w:rsid w:val="005C5EDD"/>
    <w:rsid w:val="00612FD4"/>
    <w:rsid w:val="006134FE"/>
    <w:rsid w:val="00656F73"/>
    <w:rsid w:val="00665059"/>
    <w:rsid w:val="0066650E"/>
    <w:rsid w:val="006841D6"/>
    <w:rsid w:val="00686971"/>
    <w:rsid w:val="00694BD1"/>
    <w:rsid w:val="006A0478"/>
    <w:rsid w:val="006A1B91"/>
    <w:rsid w:val="006C0E75"/>
    <w:rsid w:val="006C482C"/>
    <w:rsid w:val="006D7E1A"/>
    <w:rsid w:val="006E491B"/>
    <w:rsid w:val="006E4FC2"/>
    <w:rsid w:val="00730815"/>
    <w:rsid w:val="00736896"/>
    <w:rsid w:val="0075014D"/>
    <w:rsid w:val="00784F39"/>
    <w:rsid w:val="007915DD"/>
    <w:rsid w:val="007A55E9"/>
    <w:rsid w:val="007B7B50"/>
    <w:rsid w:val="007D49AB"/>
    <w:rsid w:val="007D7103"/>
    <w:rsid w:val="007F0B04"/>
    <w:rsid w:val="007F2133"/>
    <w:rsid w:val="007F4EB5"/>
    <w:rsid w:val="00801C3D"/>
    <w:rsid w:val="00813552"/>
    <w:rsid w:val="008136B2"/>
    <w:rsid w:val="00820A54"/>
    <w:rsid w:val="00825596"/>
    <w:rsid w:val="00832850"/>
    <w:rsid w:val="0083649A"/>
    <w:rsid w:val="00842BE5"/>
    <w:rsid w:val="008663D6"/>
    <w:rsid w:val="008A53FB"/>
    <w:rsid w:val="008B2ECE"/>
    <w:rsid w:val="008B42C7"/>
    <w:rsid w:val="008C09BC"/>
    <w:rsid w:val="008D1EB7"/>
    <w:rsid w:val="008E3A46"/>
    <w:rsid w:val="00944BF6"/>
    <w:rsid w:val="00950C0E"/>
    <w:rsid w:val="0095279C"/>
    <w:rsid w:val="00961123"/>
    <w:rsid w:val="00975307"/>
    <w:rsid w:val="009A3D75"/>
    <w:rsid w:val="009D0EEB"/>
    <w:rsid w:val="009D3C87"/>
    <w:rsid w:val="009D4DB6"/>
    <w:rsid w:val="009F7B8B"/>
    <w:rsid w:val="00A45041"/>
    <w:rsid w:val="00A6650D"/>
    <w:rsid w:val="00A703BF"/>
    <w:rsid w:val="00A73D2C"/>
    <w:rsid w:val="00AB426D"/>
    <w:rsid w:val="00AE382D"/>
    <w:rsid w:val="00B31A21"/>
    <w:rsid w:val="00B462A8"/>
    <w:rsid w:val="00B55C8B"/>
    <w:rsid w:val="00B60544"/>
    <w:rsid w:val="00B67642"/>
    <w:rsid w:val="00B72A62"/>
    <w:rsid w:val="00B7727C"/>
    <w:rsid w:val="00B8791C"/>
    <w:rsid w:val="00BA4F14"/>
    <w:rsid w:val="00BC1C64"/>
    <w:rsid w:val="00BC3703"/>
    <w:rsid w:val="00BD08CA"/>
    <w:rsid w:val="00BE252E"/>
    <w:rsid w:val="00BE693C"/>
    <w:rsid w:val="00BF7CD2"/>
    <w:rsid w:val="00C04681"/>
    <w:rsid w:val="00C07AC5"/>
    <w:rsid w:val="00C3092F"/>
    <w:rsid w:val="00C3374E"/>
    <w:rsid w:val="00C557D9"/>
    <w:rsid w:val="00C62D96"/>
    <w:rsid w:val="00C75A4C"/>
    <w:rsid w:val="00C80073"/>
    <w:rsid w:val="00CA6053"/>
    <w:rsid w:val="00CA6EB0"/>
    <w:rsid w:val="00CD0C23"/>
    <w:rsid w:val="00CE0ED8"/>
    <w:rsid w:val="00D169BD"/>
    <w:rsid w:val="00D5182F"/>
    <w:rsid w:val="00D6292E"/>
    <w:rsid w:val="00D6365B"/>
    <w:rsid w:val="00D700A4"/>
    <w:rsid w:val="00D75BBF"/>
    <w:rsid w:val="00D909D8"/>
    <w:rsid w:val="00DA2E13"/>
    <w:rsid w:val="00DA7906"/>
    <w:rsid w:val="00DB6478"/>
    <w:rsid w:val="00DC22A7"/>
    <w:rsid w:val="00DC29A3"/>
    <w:rsid w:val="00DC3D9B"/>
    <w:rsid w:val="00E001CB"/>
    <w:rsid w:val="00E11AEF"/>
    <w:rsid w:val="00E56E32"/>
    <w:rsid w:val="00E62AED"/>
    <w:rsid w:val="00E71697"/>
    <w:rsid w:val="00E71D97"/>
    <w:rsid w:val="00E870FE"/>
    <w:rsid w:val="00EA2D49"/>
    <w:rsid w:val="00EB4ACC"/>
    <w:rsid w:val="00ED1841"/>
    <w:rsid w:val="00EE0154"/>
    <w:rsid w:val="00EE0A2D"/>
    <w:rsid w:val="00F03559"/>
    <w:rsid w:val="00F1033D"/>
    <w:rsid w:val="00F2555B"/>
    <w:rsid w:val="00F56E41"/>
    <w:rsid w:val="00F61FB8"/>
    <w:rsid w:val="00F63047"/>
    <w:rsid w:val="00F656A5"/>
    <w:rsid w:val="00F664AD"/>
    <w:rsid w:val="00F77BC6"/>
    <w:rsid w:val="00F82AA3"/>
    <w:rsid w:val="00FC5485"/>
    <w:rsid w:val="00FD3D0F"/>
    <w:rsid w:val="00FD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eading 1A,Heading A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customStyle="1" w:styleId="chapternumber">
    <w:name w:val="chapter number"/>
    <w:basedOn w:val="Normal"/>
    <w:next w:val="Normal"/>
    <w:pPr>
      <w:pageBreakBefore/>
      <w:jc w:val="right"/>
    </w:pPr>
    <w:rPr>
      <w:rFonts w:ascii="Arial" w:hAnsi="Arial"/>
      <w:b/>
      <w:caps/>
      <w:sz w:val="32"/>
    </w:rPr>
  </w:style>
  <w:style w:type="paragraph" w:styleId="Header">
    <w:name w:val="header"/>
    <w:link w:val="HeaderChar"/>
    <w:uiPriority w:val="99"/>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outlineLvl w:val="0"/>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outlineLvl w:val="1"/>
    </w:pPr>
  </w:style>
  <w:style w:type="paragraph" w:styleId="ListContinue">
    <w:name w:val="List Continue"/>
    <w:pPr>
      <w:spacing w:before="60" w:after="120"/>
      <w:ind w:left="360"/>
    </w:pPr>
  </w:style>
  <w:style w:type="paragraph" w:styleId="Footer">
    <w:name w:val="footer"/>
    <w:link w:val="FooterChar"/>
    <w:uiPriority w:val="99"/>
    <w:pPr>
      <w:tabs>
        <w:tab w:val="center" w:pos="4320"/>
        <w:tab w:val="right" w:pos="8640"/>
      </w:tabs>
      <w:jc w:val="center"/>
    </w:pPr>
  </w:style>
  <w:style w:type="paragraph" w:customStyle="1" w:styleId="Equation2a">
    <w:name w:val="Equation2a"/>
    <w:basedOn w:val="Obj2"/>
    <w:pPr>
      <w:tabs>
        <w:tab w:val="left" w:pos="72"/>
      </w:tabs>
      <w:ind w:left="2880"/>
    </w:pPr>
  </w:style>
  <w:style w:type="paragraph" w:customStyle="1" w:styleId="Obj2">
    <w:name w:val="Obj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outlineLvl w:val="2"/>
    </w:pPr>
  </w:style>
  <w:style w:type="paragraph" w:customStyle="1" w:styleId="AnswerSpace">
    <w:name w:val="AnswerSpace"/>
    <w:basedOn w:val="Normal"/>
    <w:pPr>
      <w:spacing w:after="1800"/>
    </w:pPr>
  </w:style>
  <w:style w:type="paragraph" w:customStyle="1" w:styleId="Equation2">
    <w:name w:val="Equation2"/>
    <w:basedOn w:val="Normal"/>
    <w:pPr>
      <w:widowControl w:val="0"/>
      <w:spacing w:before="100" w:after="100"/>
      <w:ind w:left="864"/>
    </w:p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character" w:styleId="PageNumber">
    <w:name w:val="page number"/>
    <w:basedOn w:val="DefaultParagraphFont"/>
  </w:style>
  <w:style w:type="paragraph" w:customStyle="1" w:styleId="BodyTextArial13">
    <w:name w:val="Body Text Arial 13"/>
    <w:basedOn w:val="bodytextarial11"/>
    <w:autoRedefine/>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character" w:customStyle="1" w:styleId="Heading1Char">
    <w:name w:val="Heading 1 Char"/>
    <w:aliases w:val="Heading 1A Char,Heading A1 Char"/>
    <w:link w:val="Heading1"/>
    <w:rsid w:val="009D0EEB"/>
    <w:rPr>
      <w:rFonts w:ascii="Arial" w:hAnsi="Arial"/>
      <w:b/>
      <w:kern w:val="28"/>
      <w:sz w:val="24"/>
      <w:u w:val="single"/>
      <w:lang w:val="en-US" w:eastAsia="en-US" w:bidi="ar-SA"/>
    </w:rPr>
  </w:style>
  <w:style w:type="table" w:styleId="TableGrid">
    <w:name w:val="Table Grid"/>
    <w:basedOn w:val="TableNormal"/>
    <w:rsid w:val="000E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09E"/>
  </w:style>
  <w:style w:type="paragraph" w:styleId="BalloonText">
    <w:name w:val="Balloon Text"/>
    <w:basedOn w:val="Normal"/>
    <w:link w:val="BalloonTextChar"/>
    <w:uiPriority w:val="99"/>
    <w:semiHidden/>
    <w:unhideWhenUsed/>
    <w:rsid w:val="003F4C19"/>
    <w:rPr>
      <w:rFonts w:ascii="Segoe UI" w:hAnsi="Segoe UI" w:cs="Segoe UI"/>
      <w:sz w:val="18"/>
      <w:szCs w:val="18"/>
    </w:rPr>
  </w:style>
  <w:style w:type="character" w:customStyle="1" w:styleId="BalloonTextChar">
    <w:name w:val="Balloon Text Char"/>
    <w:link w:val="BalloonText"/>
    <w:uiPriority w:val="99"/>
    <w:semiHidden/>
    <w:rsid w:val="003F4C19"/>
    <w:rPr>
      <w:rFonts w:ascii="Segoe UI" w:hAnsi="Segoe UI" w:cs="Segoe UI"/>
      <w:sz w:val="18"/>
      <w:szCs w:val="18"/>
    </w:rPr>
  </w:style>
  <w:style w:type="character" w:customStyle="1" w:styleId="HeaderChar">
    <w:name w:val="Header Char"/>
    <w:link w:val="Header"/>
    <w:uiPriority w:val="99"/>
    <w:rsid w:val="00131400"/>
  </w:style>
  <w:style w:type="paragraph" w:styleId="ListParagraph">
    <w:name w:val="List Paragraph"/>
    <w:basedOn w:val="Normal"/>
    <w:uiPriority w:val="34"/>
    <w:qFormat/>
    <w:rsid w:val="008E3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aliases w:val="Heading 1A,Heading A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qFormat/>
    <w:pPr>
      <w:keepNext/>
      <w:tabs>
        <w:tab w:val="left" w:pos="360"/>
      </w:tabs>
      <w:spacing w:before="60" w:after="120"/>
      <w:outlineLvl w:val="1"/>
    </w:pPr>
    <w:rPr>
      <w:b/>
      <w:sz w:val="22"/>
    </w:rPr>
  </w:style>
  <w:style w:type="paragraph" w:styleId="Heading3">
    <w:name w:val="heading 3"/>
    <w:basedOn w:val="Normal"/>
    <w:next w:val="Normal"/>
    <w:qFormat/>
    <w:pPr>
      <w:keepNext/>
      <w:spacing w:before="60" w:after="120"/>
      <w:outlineLvl w:val="2"/>
    </w:pPr>
    <w:rPr>
      <w:rFonts w:ascii="Arial" w:hAnsi="Arial"/>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after="240"/>
      <w:jc w:val="both"/>
    </w:pPr>
    <w:rPr>
      <w:sz w:val="22"/>
    </w:rPr>
  </w:style>
  <w:style w:type="paragraph" w:customStyle="1" w:styleId="chapternumber">
    <w:name w:val="chapter number"/>
    <w:basedOn w:val="Normal"/>
    <w:next w:val="Normal"/>
    <w:pPr>
      <w:pageBreakBefore/>
      <w:jc w:val="right"/>
    </w:pPr>
    <w:rPr>
      <w:rFonts w:ascii="Arial" w:hAnsi="Arial"/>
      <w:b/>
      <w:caps/>
      <w:sz w:val="32"/>
    </w:rPr>
  </w:style>
  <w:style w:type="paragraph" w:styleId="Header">
    <w:name w:val="header"/>
    <w:link w:val="HeaderChar"/>
    <w:uiPriority w:val="99"/>
    <w:pPr>
      <w:tabs>
        <w:tab w:val="center" w:pos="4320"/>
        <w:tab w:val="right" w:pos="8640"/>
      </w:tabs>
    </w:p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outlineLvl w:val="0"/>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outlineLvl w:val="1"/>
    </w:pPr>
  </w:style>
  <w:style w:type="paragraph" w:styleId="ListContinue">
    <w:name w:val="List Continue"/>
    <w:pPr>
      <w:spacing w:before="60" w:after="120"/>
      <w:ind w:left="360"/>
    </w:pPr>
  </w:style>
  <w:style w:type="paragraph" w:styleId="Footer">
    <w:name w:val="footer"/>
    <w:link w:val="FooterChar"/>
    <w:uiPriority w:val="99"/>
    <w:pPr>
      <w:tabs>
        <w:tab w:val="center" w:pos="4320"/>
        <w:tab w:val="right" w:pos="8640"/>
      </w:tabs>
      <w:jc w:val="center"/>
    </w:pPr>
  </w:style>
  <w:style w:type="paragraph" w:customStyle="1" w:styleId="Equation2a">
    <w:name w:val="Equation2a"/>
    <w:basedOn w:val="Obj2"/>
    <w:pPr>
      <w:tabs>
        <w:tab w:val="left" w:pos="72"/>
      </w:tabs>
      <w:ind w:left="2880"/>
    </w:pPr>
  </w:style>
  <w:style w:type="paragraph" w:customStyle="1" w:styleId="Obj2">
    <w:name w:val="Obj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rPr>
      <w:sz w:val="22"/>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semiHidden/>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BodyTextIndent"/>
    <w:pPr>
      <w:spacing w:before="60"/>
      <w:ind w:left="720"/>
    </w:pPr>
  </w:style>
  <w:style w:type="paragraph" w:styleId="BodyTextIndent">
    <w:name w:val="Body Text Indent"/>
    <w:basedOn w:val="Normal"/>
    <w:pPr>
      <w:spacing w:after="120"/>
      <w:ind w:left="360"/>
      <w:jc w:val="both"/>
    </w:p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outlineLvl w:val="2"/>
    </w:pPr>
  </w:style>
  <w:style w:type="paragraph" w:customStyle="1" w:styleId="AnswerSpace">
    <w:name w:val="AnswerSpace"/>
    <w:basedOn w:val="Normal"/>
    <w:pPr>
      <w:spacing w:after="1800"/>
    </w:pPr>
  </w:style>
  <w:style w:type="paragraph" w:customStyle="1" w:styleId="Equation2">
    <w:name w:val="Equation2"/>
    <w:basedOn w:val="Normal"/>
    <w:pPr>
      <w:widowControl w:val="0"/>
      <w:spacing w:before="100" w:after="100"/>
      <w:ind w:left="864"/>
    </w:p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character" w:styleId="PageNumber">
    <w:name w:val="page number"/>
    <w:basedOn w:val="DefaultParagraphFont"/>
  </w:style>
  <w:style w:type="paragraph" w:customStyle="1" w:styleId="BodyTextArial13">
    <w:name w:val="Body Text Arial 13"/>
    <w:basedOn w:val="bodytextarial11"/>
    <w:autoRedefine/>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character" w:customStyle="1" w:styleId="Heading1Char">
    <w:name w:val="Heading 1 Char"/>
    <w:aliases w:val="Heading 1A Char,Heading A1 Char"/>
    <w:link w:val="Heading1"/>
    <w:rsid w:val="009D0EEB"/>
    <w:rPr>
      <w:rFonts w:ascii="Arial" w:hAnsi="Arial"/>
      <w:b/>
      <w:kern w:val="28"/>
      <w:sz w:val="24"/>
      <w:u w:val="single"/>
      <w:lang w:val="en-US" w:eastAsia="en-US" w:bidi="ar-SA"/>
    </w:rPr>
  </w:style>
  <w:style w:type="table" w:styleId="TableGrid">
    <w:name w:val="Table Grid"/>
    <w:basedOn w:val="TableNormal"/>
    <w:rsid w:val="000E4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2709E"/>
  </w:style>
  <w:style w:type="paragraph" w:styleId="BalloonText">
    <w:name w:val="Balloon Text"/>
    <w:basedOn w:val="Normal"/>
    <w:link w:val="BalloonTextChar"/>
    <w:uiPriority w:val="99"/>
    <w:semiHidden/>
    <w:unhideWhenUsed/>
    <w:rsid w:val="003F4C19"/>
    <w:rPr>
      <w:rFonts w:ascii="Segoe UI" w:hAnsi="Segoe UI" w:cs="Segoe UI"/>
      <w:sz w:val="18"/>
      <w:szCs w:val="18"/>
    </w:rPr>
  </w:style>
  <w:style w:type="character" w:customStyle="1" w:styleId="BalloonTextChar">
    <w:name w:val="Balloon Text Char"/>
    <w:link w:val="BalloonText"/>
    <w:uiPriority w:val="99"/>
    <w:semiHidden/>
    <w:rsid w:val="003F4C19"/>
    <w:rPr>
      <w:rFonts w:ascii="Segoe UI" w:hAnsi="Segoe UI" w:cs="Segoe UI"/>
      <w:sz w:val="18"/>
      <w:szCs w:val="18"/>
    </w:rPr>
  </w:style>
  <w:style w:type="character" w:customStyle="1" w:styleId="HeaderChar">
    <w:name w:val="Header Char"/>
    <w:link w:val="Header"/>
    <w:uiPriority w:val="99"/>
    <w:rsid w:val="00131400"/>
  </w:style>
  <w:style w:type="paragraph" w:styleId="ListParagraph">
    <w:name w:val="List Paragraph"/>
    <w:basedOn w:val="Normal"/>
    <w:uiPriority w:val="34"/>
    <w:qFormat/>
    <w:rsid w:val="008E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Wild%20Ch%201-7\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10F5-E224-4B2F-9830-A4454B00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Template>
  <TotalTime>30</TotalTime>
  <Pages>11</Pages>
  <Words>3125</Words>
  <Characters>17818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CHAPTER 1</vt:lpstr>
    </vt:vector>
  </TitlesOfParts>
  <Company>MCGRAW-HILL</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Barbara A. Chiappetta</dc:creator>
  <cp:keywords/>
  <cp:lastModifiedBy>Mann, Rebecca</cp:lastModifiedBy>
  <cp:revision>15</cp:revision>
  <cp:lastPrinted>2014-07-07T22:07:00Z</cp:lastPrinted>
  <dcterms:created xsi:type="dcterms:W3CDTF">2016-09-04T23:29:00Z</dcterms:created>
  <dcterms:modified xsi:type="dcterms:W3CDTF">2017-01-18T20:26:00Z</dcterms:modified>
</cp:coreProperties>
</file>