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F84" w:rsidRDefault="00A33F84" w:rsidP="00A33F84">
      <w:pPr>
        <w:rPr>
          <w:b/>
          <w:i/>
        </w:rPr>
      </w:pPr>
      <w:r>
        <w:rPr>
          <w:b/>
          <w:i/>
        </w:rPr>
        <w:t>Analysis for Financial Management, 11e</w:t>
      </w:r>
    </w:p>
    <w:p w:rsidR="00A33F84" w:rsidRDefault="00A33F84" w:rsidP="00A33F84">
      <w:pPr>
        <w:rPr>
          <w:b/>
        </w:rPr>
      </w:pPr>
      <w:r>
        <w:rPr>
          <w:b/>
        </w:rPr>
        <w:t>SUGGESTED ANSWERS TO EVEN-NUMBERED PROBLEMS</w:t>
      </w:r>
    </w:p>
    <w:p w:rsidR="00A33F84" w:rsidRDefault="00A33F84" w:rsidP="00A33F84">
      <w:pPr>
        <w:pStyle w:val="2"/>
        <w:spacing w:before="100" w:beforeAutospacing="1" w:line="276" w:lineRule="auto"/>
        <w:ind w:left="360" w:hanging="360"/>
        <w:contextualSpacing/>
        <w:jc w:val="both"/>
      </w:pPr>
      <w:r>
        <w:t>Chapter 1</w:t>
      </w:r>
    </w:p>
    <w:p w:rsidR="00A33F84" w:rsidRDefault="00A33F84" w:rsidP="00A33F84">
      <w:pPr>
        <w:pStyle w:val="a3"/>
        <w:spacing w:before="240" w:line="276" w:lineRule="auto"/>
        <w:ind w:left="360" w:hanging="360"/>
        <w:contextualSpacing/>
        <w:jc w:val="both"/>
      </w:pPr>
      <w:r>
        <w:t>2.</w:t>
      </w:r>
      <w:r>
        <w:tab/>
        <w:t>Management is either dumb or thinks its board is.  Earning $100 million on a $4 billion equity investment is a return of 2.5 percent, a figure well below any reasonable cost of equity.  As a board member, I would vote to cut management’s compensation, not raise it.  I would also criticize them sharply for apparently attempting to deceive the board.</w:t>
      </w:r>
    </w:p>
    <w:p w:rsidR="00A33F84" w:rsidRDefault="00A33F84" w:rsidP="00A33F84">
      <w:pPr>
        <w:pStyle w:val="a3"/>
        <w:spacing w:before="240" w:line="276" w:lineRule="auto"/>
        <w:ind w:left="360" w:hanging="360"/>
        <w:contextualSpacing/>
        <w:jc w:val="both"/>
      </w:pPr>
    </w:p>
    <w:p w:rsidR="00A33F84" w:rsidRDefault="00A33F84" w:rsidP="00A33F84">
      <w:pPr>
        <w:pStyle w:val="a3"/>
        <w:tabs>
          <w:tab w:val="left" w:pos="360"/>
        </w:tabs>
        <w:spacing w:before="240" w:line="276" w:lineRule="auto"/>
        <w:ind w:left="720" w:hanging="720"/>
        <w:contextualSpacing/>
        <w:jc w:val="both"/>
      </w:pPr>
      <w:r>
        <w:t>4.</w:t>
      </w:r>
      <w:r>
        <w:tab/>
        <w:t>a.</w:t>
      </w:r>
      <w:r>
        <w:tab/>
        <w:t xml:space="preserve">Cash rises $500,000; plant and equipment falls $300,000; equity rises $200,000. </w:t>
      </w:r>
    </w:p>
    <w:p w:rsidR="00A33F84" w:rsidRDefault="00A33F84" w:rsidP="00A33F84">
      <w:pPr>
        <w:pStyle w:val="a3"/>
        <w:tabs>
          <w:tab w:val="left" w:pos="360"/>
        </w:tabs>
        <w:spacing w:before="240" w:line="276" w:lineRule="auto"/>
        <w:ind w:left="720" w:hanging="720"/>
        <w:contextualSpacing/>
        <w:jc w:val="both"/>
      </w:pPr>
      <w:r>
        <w:tab/>
        <w:t>b.</w:t>
      </w:r>
      <w:r>
        <w:tab/>
        <w:t xml:space="preserve">Net plant and equipment rises $80 million; Cash falls $32 million; Bank debt rises $48 million. </w:t>
      </w:r>
    </w:p>
    <w:p w:rsidR="00A33F84" w:rsidRDefault="00A33F84" w:rsidP="00A33F84">
      <w:pPr>
        <w:pStyle w:val="a3"/>
        <w:tabs>
          <w:tab w:val="left" w:pos="360"/>
        </w:tabs>
        <w:spacing w:before="240" w:line="276" w:lineRule="auto"/>
        <w:ind w:left="720" w:hanging="720"/>
        <w:contextualSpacing/>
        <w:jc w:val="both"/>
      </w:pPr>
      <w:r>
        <w:tab/>
        <w:t>c.</w:t>
      </w:r>
      <w:r>
        <w:tab/>
        <w:t>Net plant and equipment rises $60 million; cash falls $60 million.</w:t>
      </w:r>
    </w:p>
    <w:p w:rsidR="00A33F84" w:rsidRDefault="00A33F84" w:rsidP="00A33F84">
      <w:pPr>
        <w:pStyle w:val="a3"/>
        <w:tabs>
          <w:tab w:val="left" w:pos="360"/>
        </w:tabs>
        <w:spacing w:before="240" w:line="276" w:lineRule="auto"/>
        <w:ind w:left="720" w:hanging="720"/>
        <w:contextualSpacing/>
        <w:jc w:val="both"/>
      </w:pPr>
      <w:r>
        <w:tab/>
        <w:t>d.</w:t>
      </w:r>
      <w:r>
        <w:tab/>
        <w:t>Cash falls $40,000; Accounts payable falls $40,000.</w:t>
      </w:r>
    </w:p>
    <w:p w:rsidR="00A33F84" w:rsidRDefault="00A33F84" w:rsidP="00A33F84">
      <w:pPr>
        <w:pStyle w:val="a3"/>
        <w:tabs>
          <w:tab w:val="left" w:pos="360"/>
        </w:tabs>
        <w:spacing w:before="240" w:line="276" w:lineRule="auto"/>
        <w:ind w:left="720" w:hanging="720"/>
        <w:contextualSpacing/>
        <w:jc w:val="both"/>
      </w:pPr>
      <w:r>
        <w:tab/>
        <w:t>e.</w:t>
      </w:r>
      <w:r>
        <w:tab/>
        <w:t xml:space="preserve">Cash falls $240,000; Owners’ equity falls by $240,000 (via an increase in treasury stock). </w:t>
      </w:r>
    </w:p>
    <w:p w:rsidR="00A33F84" w:rsidRDefault="00A33F84" w:rsidP="00A33F84">
      <w:pPr>
        <w:pStyle w:val="a3"/>
        <w:tabs>
          <w:tab w:val="left" w:pos="360"/>
        </w:tabs>
        <w:spacing w:before="240" w:line="276" w:lineRule="auto"/>
        <w:ind w:left="720" w:hanging="720"/>
        <w:contextualSpacing/>
        <w:jc w:val="both"/>
      </w:pPr>
      <w:r>
        <w:tab/>
        <w:t>f.</w:t>
      </w:r>
      <w:r>
        <w:tab/>
        <w:t>Cash rises $80,000; Inventory falls; Accrued taxes, Owners’ equity, and possibly other cost categories rise such that the algebraic sum equals $80,000.</w:t>
      </w:r>
    </w:p>
    <w:p w:rsidR="00A33F84" w:rsidRDefault="00A33F84" w:rsidP="00A33F84">
      <w:pPr>
        <w:pStyle w:val="a3"/>
        <w:tabs>
          <w:tab w:val="left" w:pos="360"/>
        </w:tabs>
        <w:spacing w:before="240" w:line="276" w:lineRule="auto"/>
        <w:ind w:left="720" w:hanging="720"/>
        <w:contextualSpacing/>
        <w:jc w:val="both"/>
      </w:pPr>
      <w:r>
        <w:tab/>
        <w:t>g.</w:t>
      </w:r>
      <w:r>
        <w:tab/>
        <w:t>Accounts receivable rise $120,000.  Other categories change as described in part f.</w:t>
      </w:r>
    </w:p>
    <w:p w:rsidR="00A33F84" w:rsidRDefault="00A33F84" w:rsidP="00A33F84">
      <w:pPr>
        <w:pStyle w:val="a3"/>
        <w:tabs>
          <w:tab w:val="left" w:pos="360"/>
        </w:tabs>
        <w:spacing w:before="240" w:line="276" w:lineRule="auto"/>
        <w:ind w:left="720" w:hanging="720"/>
        <w:contextualSpacing/>
        <w:jc w:val="both"/>
      </w:pPr>
      <w:r>
        <w:tab/>
        <w:t>h.</w:t>
      </w:r>
      <w:r>
        <w:tab/>
        <w:t>Cash falls $50,000.  Owners’ equity falls by $50,000 (via Retained Earnings).</w:t>
      </w:r>
    </w:p>
    <w:p w:rsidR="00A33F84" w:rsidRDefault="00A33F84" w:rsidP="00A33F84">
      <w:pPr>
        <w:pStyle w:val="a3"/>
        <w:tabs>
          <w:tab w:val="left" w:pos="360"/>
        </w:tabs>
        <w:spacing w:before="240" w:line="276" w:lineRule="auto"/>
        <w:ind w:left="720" w:hanging="720"/>
        <w:contextualSpacing/>
        <w:jc w:val="both"/>
      </w:pPr>
    </w:p>
    <w:p w:rsidR="00A33F84" w:rsidRDefault="00A33F84" w:rsidP="00A33F84">
      <w:pPr>
        <w:pStyle w:val="a3"/>
        <w:tabs>
          <w:tab w:val="left" w:pos="360"/>
        </w:tabs>
        <w:spacing w:before="240" w:line="276" w:lineRule="auto"/>
        <w:ind w:left="720" w:hanging="720"/>
        <w:contextualSpacing/>
        <w:jc w:val="both"/>
      </w:pPr>
      <w:r>
        <w:t>6.</w:t>
      </w:r>
      <w:r>
        <w:tab/>
        <w:t>a.</w:t>
      </w:r>
      <w:r>
        <w:tab/>
      </w:r>
      <w:r>
        <w:rPr>
          <w:b/>
        </w:rPr>
        <w:t>R&amp;E Supplies, Inc.</w:t>
      </w:r>
      <w:r>
        <w:t xml:space="preserve">  Sources and Uses Statement 2011–2014 ($000).</w:t>
      </w:r>
    </w:p>
    <w:p w:rsidR="00A33F84" w:rsidRDefault="00A33F84" w:rsidP="00A33F84">
      <w:pPr>
        <w:pBdr>
          <w:bottom w:val="single" w:sz="12" w:space="1" w:color="auto"/>
        </w:pBdr>
        <w:spacing w:before="100" w:beforeAutospacing="1" w:line="276" w:lineRule="auto"/>
        <w:ind w:left="360" w:hanging="360"/>
        <w:contextualSpacing/>
        <w:jc w:val="both"/>
      </w:pPr>
    </w:p>
    <w:p w:rsidR="00A33F84" w:rsidRDefault="00A33F84" w:rsidP="00A33F84">
      <w:pPr>
        <w:spacing w:before="100" w:beforeAutospacing="1" w:line="276" w:lineRule="auto"/>
        <w:ind w:left="360" w:hanging="360"/>
        <w:contextualSpacing/>
        <w:jc w:val="both"/>
        <w:rPr>
          <w:b/>
        </w:rPr>
      </w:pPr>
      <w:r>
        <w:rPr>
          <w:b/>
        </w:rPr>
        <w:t>Sources of cash:</w:t>
      </w:r>
    </w:p>
    <w:p w:rsidR="00A33F84" w:rsidRDefault="00A33F84" w:rsidP="00A33F84">
      <w:pPr>
        <w:tabs>
          <w:tab w:val="left" w:pos="720"/>
          <w:tab w:val="right" w:pos="6480"/>
        </w:tabs>
        <w:spacing w:line="276" w:lineRule="auto"/>
        <w:ind w:left="360" w:hanging="360"/>
        <w:contextualSpacing/>
        <w:jc w:val="both"/>
      </w:pPr>
      <w:r>
        <w:tab/>
        <w:t>Decrease in cash and securities</w:t>
      </w:r>
      <w:r>
        <w:tab/>
        <w:t>$259</w:t>
      </w:r>
    </w:p>
    <w:p w:rsidR="00A33F84" w:rsidRDefault="00A33F84" w:rsidP="00A33F84">
      <w:pPr>
        <w:tabs>
          <w:tab w:val="left" w:pos="720"/>
          <w:tab w:val="right" w:pos="6480"/>
        </w:tabs>
        <w:spacing w:line="276" w:lineRule="auto"/>
        <w:ind w:left="360" w:hanging="360"/>
        <w:contextualSpacing/>
        <w:jc w:val="both"/>
      </w:pPr>
      <w:r>
        <w:tab/>
        <w:t>Increase in accounts payable</w:t>
      </w:r>
      <w:r>
        <w:tab/>
        <w:t>2,205</w:t>
      </w:r>
    </w:p>
    <w:p w:rsidR="00A33F84" w:rsidRDefault="00A33F84" w:rsidP="00A33F84">
      <w:pPr>
        <w:tabs>
          <w:tab w:val="left" w:pos="720"/>
          <w:tab w:val="right" w:pos="6480"/>
        </w:tabs>
        <w:spacing w:line="276" w:lineRule="auto"/>
        <w:ind w:left="360" w:hanging="360"/>
        <w:contextualSpacing/>
        <w:jc w:val="both"/>
      </w:pPr>
      <w:r>
        <w:tab/>
        <w:t>Increase in current portion long-term debt</w:t>
      </w:r>
      <w:r>
        <w:tab/>
        <w:t>40</w:t>
      </w:r>
    </w:p>
    <w:p w:rsidR="00A33F84" w:rsidRDefault="00A33F84" w:rsidP="00A33F84">
      <w:pPr>
        <w:tabs>
          <w:tab w:val="left" w:pos="720"/>
          <w:tab w:val="right" w:pos="6480"/>
        </w:tabs>
        <w:spacing w:line="276" w:lineRule="auto"/>
        <w:ind w:left="360" w:hanging="360"/>
        <w:contextualSpacing/>
        <w:jc w:val="both"/>
      </w:pPr>
      <w:r>
        <w:tab/>
        <w:t>Increase in accrued wages</w:t>
      </w:r>
      <w:r>
        <w:tab/>
        <w:t>13</w:t>
      </w:r>
    </w:p>
    <w:p w:rsidR="00A33F84" w:rsidRDefault="00A33F84" w:rsidP="00A33F84">
      <w:pPr>
        <w:tabs>
          <w:tab w:val="left" w:pos="720"/>
          <w:tab w:val="right" w:pos="6480"/>
        </w:tabs>
        <w:spacing w:line="276" w:lineRule="auto"/>
        <w:ind w:left="360" w:hanging="360"/>
        <w:contextualSpacing/>
        <w:jc w:val="both"/>
      </w:pPr>
      <w:r>
        <w:tab/>
        <w:t>Increase in retained earnings</w:t>
      </w:r>
      <w:r>
        <w:tab/>
      </w:r>
      <w:r>
        <w:rPr>
          <w:u w:val="single"/>
        </w:rPr>
        <w:t xml:space="preserve">     537</w:t>
      </w:r>
    </w:p>
    <w:p w:rsidR="00A33F84" w:rsidRDefault="00A33F84" w:rsidP="00A33F84">
      <w:pPr>
        <w:tabs>
          <w:tab w:val="left" w:pos="720"/>
          <w:tab w:val="right" w:pos="6480"/>
        </w:tabs>
        <w:spacing w:line="276" w:lineRule="auto"/>
        <w:ind w:left="360" w:hanging="360"/>
        <w:contextualSpacing/>
        <w:jc w:val="both"/>
      </w:pPr>
      <w:r>
        <w:tab/>
        <w:t xml:space="preserve">  Total</w:t>
      </w:r>
      <w:r>
        <w:tab/>
        <w:t>$3,054</w:t>
      </w:r>
    </w:p>
    <w:p w:rsidR="00A33F84" w:rsidRDefault="00A33F84" w:rsidP="00A33F84">
      <w:pPr>
        <w:tabs>
          <w:tab w:val="left" w:pos="720"/>
          <w:tab w:val="right" w:pos="6480"/>
        </w:tabs>
        <w:spacing w:line="276" w:lineRule="auto"/>
        <w:ind w:left="360" w:hanging="360"/>
        <w:contextualSpacing/>
        <w:jc w:val="both"/>
        <w:rPr>
          <w:b/>
          <w:bCs/>
        </w:rPr>
      </w:pPr>
      <w:r>
        <w:rPr>
          <w:b/>
          <w:bCs/>
        </w:rPr>
        <w:t>Uses of cash:</w:t>
      </w:r>
    </w:p>
    <w:p w:rsidR="00A33F84" w:rsidRDefault="00A33F84" w:rsidP="00A33F84">
      <w:pPr>
        <w:tabs>
          <w:tab w:val="left" w:pos="720"/>
          <w:tab w:val="right" w:pos="6480"/>
        </w:tabs>
        <w:spacing w:line="276" w:lineRule="auto"/>
        <w:ind w:left="360" w:hanging="360"/>
        <w:contextualSpacing/>
        <w:jc w:val="both"/>
      </w:pPr>
      <w:r>
        <w:tab/>
        <w:t>Increase in accounts receivable</w:t>
      </w:r>
      <w:r>
        <w:tab/>
        <w:t>$1,543</w:t>
      </w:r>
    </w:p>
    <w:p w:rsidR="00A33F84" w:rsidRDefault="00A33F84" w:rsidP="00A33F84">
      <w:pPr>
        <w:tabs>
          <w:tab w:val="left" w:pos="720"/>
          <w:tab w:val="right" w:pos="6480"/>
        </w:tabs>
        <w:spacing w:line="276" w:lineRule="auto"/>
        <w:ind w:left="360" w:hanging="360"/>
        <w:contextualSpacing/>
        <w:jc w:val="both"/>
      </w:pPr>
      <w:r>
        <w:tab/>
        <w:t>Increase in inventories</w:t>
      </w:r>
      <w:r>
        <w:tab/>
        <w:t>1,148</w:t>
      </w:r>
    </w:p>
    <w:p w:rsidR="00A33F84" w:rsidRDefault="00A33F84" w:rsidP="00A33F84">
      <w:pPr>
        <w:tabs>
          <w:tab w:val="left" w:pos="720"/>
          <w:tab w:val="right" w:pos="6480"/>
        </w:tabs>
        <w:spacing w:line="276" w:lineRule="auto"/>
        <w:ind w:left="360" w:hanging="360"/>
        <w:contextualSpacing/>
        <w:jc w:val="both"/>
      </w:pPr>
      <w:r>
        <w:tab/>
        <w:t>Increase in prepaid expenses</w:t>
      </w:r>
      <w:r>
        <w:tab/>
        <w:t>4</w:t>
      </w:r>
    </w:p>
    <w:p w:rsidR="00A33F84" w:rsidRDefault="00A33F84" w:rsidP="00A33F84">
      <w:pPr>
        <w:tabs>
          <w:tab w:val="left" w:pos="720"/>
          <w:tab w:val="right" w:pos="6480"/>
        </w:tabs>
        <w:spacing w:line="276" w:lineRule="auto"/>
        <w:ind w:left="360" w:hanging="360"/>
        <w:contextualSpacing/>
        <w:jc w:val="both"/>
      </w:pPr>
      <w:r>
        <w:tab/>
        <w:t>Increase in net fixed assets</w:t>
      </w:r>
      <w:r>
        <w:tab/>
        <w:t>159</w:t>
      </w:r>
    </w:p>
    <w:p w:rsidR="00A33F84" w:rsidRDefault="00A33F84" w:rsidP="00A33F84">
      <w:pPr>
        <w:tabs>
          <w:tab w:val="left" w:pos="720"/>
          <w:tab w:val="right" w:pos="6480"/>
        </w:tabs>
        <w:spacing w:line="276" w:lineRule="auto"/>
        <w:ind w:left="360" w:hanging="360"/>
        <w:contextualSpacing/>
        <w:jc w:val="both"/>
      </w:pPr>
      <w:r>
        <w:tab/>
        <w:t>Decrease in long-term debt</w:t>
      </w:r>
      <w:r>
        <w:tab/>
      </w:r>
      <w:r>
        <w:rPr>
          <w:u w:val="single"/>
        </w:rPr>
        <w:t xml:space="preserve">      200</w:t>
      </w:r>
    </w:p>
    <w:p w:rsidR="00A33F84" w:rsidRDefault="00A33F84" w:rsidP="00A33F84">
      <w:pPr>
        <w:tabs>
          <w:tab w:val="left" w:pos="720"/>
          <w:tab w:val="right" w:pos="6480"/>
        </w:tabs>
        <w:spacing w:line="276" w:lineRule="auto"/>
        <w:ind w:left="360" w:hanging="360"/>
        <w:contextualSpacing/>
        <w:jc w:val="both"/>
      </w:pPr>
      <w:r>
        <w:tab/>
        <w:t xml:space="preserve">  Total </w:t>
      </w:r>
      <w:r>
        <w:tab/>
        <w:t>$3,054</w:t>
      </w:r>
    </w:p>
    <w:p w:rsidR="00A33F84" w:rsidRDefault="00A33F84" w:rsidP="00A33F84">
      <w:pPr>
        <w:tabs>
          <w:tab w:val="left" w:pos="720"/>
          <w:tab w:val="right" w:pos="6480"/>
        </w:tabs>
        <w:spacing w:line="276" w:lineRule="auto"/>
        <w:ind w:left="360" w:hanging="360"/>
        <w:contextualSpacing/>
        <w:jc w:val="both"/>
      </w:pPr>
      <w:r>
        <w:t>__________________________________________________________________</w:t>
      </w:r>
    </w:p>
    <w:p w:rsidR="00A33F84" w:rsidRDefault="00A33F84" w:rsidP="00A33F84">
      <w:pPr>
        <w:pStyle w:val="a3"/>
        <w:tabs>
          <w:tab w:val="left" w:pos="360"/>
        </w:tabs>
        <w:spacing w:before="240" w:line="276" w:lineRule="auto"/>
        <w:ind w:left="720" w:hanging="720"/>
        <w:contextualSpacing/>
        <w:jc w:val="both"/>
      </w:pPr>
      <w:r>
        <w:tab/>
        <w:t>b.</w:t>
      </w:r>
      <w:r>
        <w:tab/>
        <w:t>Insights:</w:t>
      </w:r>
    </w:p>
    <w:p w:rsidR="00A33F84" w:rsidRDefault="00A33F84" w:rsidP="00A33F84">
      <w:pPr>
        <w:spacing w:before="100" w:beforeAutospacing="1" w:line="276" w:lineRule="auto"/>
        <w:ind w:left="360" w:hanging="360"/>
        <w:contextualSpacing/>
        <w:jc w:val="both"/>
      </w:pPr>
      <w:r>
        <w:t xml:space="preserve">i. R&amp;E is making extensive use of trade credit to finance a buildup in current assets.  The increase in accounts payable equals almost three fourths of total sources of cash.  </w:t>
      </w:r>
      <w:r>
        <w:lastRenderedPageBreak/>
        <w:t>Increasing accounts receivable and inventories account for almost 90 percent of the uses of cash.</w:t>
      </w:r>
    </w:p>
    <w:p w:rsidR="00A33F84" w:rsidRDefault="00A33F84" w:rsidP="00A33F84">
      <w:pPr>
        <w:spacing w:before="100" w:beforeAutospacing="1" w:line="276" w:lineRule="auto"/>
        <w:ind w:left="360" w:hanging="360"/>
        <w:contextualSpacing/>
        <w:jc w:val="both"/>
      </w:pPr>
      <w:r>
        <w:t>ii. External long-term debt financing is a use of cash for R&amp;E, meaning that it is repaying its loans.  A restructuring involving less reliance on accounts payable and more bank debt appears appropriate.</w:t>
      </w:r>
    </w:p>
    <w:p w:rsidR="00A33F84" w:rsidRDefault="00A33F84" w:rsidP="00A33F84">
      <w:pPr>
        <w:pStyle w:val="a3"/>
        <w:spacing w:before="100" w:beforeAutospacing="1" w:line="276" w:lineRule="auto"/>
        <w:ind w:left="360" w:hanging="360"/>
        <w:contextualSpacing/>
        <w:jc w:val="both"/>
      </w:pPr>
      <w:r>
        <w:t>8.</w:t>
      </w:r>
      <w:r>
        <w:tab/>
        <w:t>Accounting income will be the value of the parcels sold, less their original purchase price.  So if all parcels are sold, the income is 5 × $16 million + 5 × $8 million – $100 million = $20 million.  Economic income will be the increase in the market value of the land, whether sold or not, over the period.  At the end of the first year, this will be $20 million.  Answers to each part of the question appear below.</w:t>
      </w:r>
    </w:p>
    <w:p w:rsidR="00A33F84" w:rsidRDefault="00A33F84" w:rsidP="00A33F84">
      <w:pPr>
        <w:pStyle w:val="a3"/>
        <w:spacing w:before="100" w:beforeAutospacing="1" w:line="276" w:lineRule="auto"/>
        <w:ind w:left="360" w:hanging="360"/>
        <w:contextualSpacing/>
        <w:jc w:val="both"/>
      </w:pPr>
    </w:p>
    <w:tbl>
      <w:tblPr>
        <w:tblW w:w="0" w:type="auto"/>
        <w:tblInd w:w="1124" w:type="dxa"/>
        <w:tblLayout w:type="fixed"/>
        <w:tblLook w:val="04A0" w:firstRow="1" w:lastRow="0" w:firstColumn="1" w:lastColumn="0" w:noHBand="0" w:noVBand="1"/>
      </w:tblPr>
      <w:tblGrid>
        <w:gridCol w:w="1346"/>
        <w:gridCol w:w="2224"/>
        <w:gridCol w:w="2096"/>
      </w:tblGrid>
      <w:tr w:rsidR="00A33F84" w:rsidTr="00A33F84">
        <w:trPr>
          <w:cantSplit/>
        </w:trPr>
        <w:tc>
          <w:tcPr>
            <w:tcW w:w="1346" w:type="dxa"/>
            <w:tcBorders>
              <w:top w:val="single" w:sz="12" w:space="0" w:color="auto"/>
              <w:left w:val="nil"/>
              <w:bottom w:val="single" w:sz="6" w:space="0" w:color="auto"/>
              <w:right w:val="nil"/>
            </w:tcBorders>
            <w:hideMark/>
          </w:tcPr>
          <w:p w:rsidR="00A33F84" w:rsidRDefault="00A33F84">
            <w:pPr>
              <w:spacing w:before="100" w:beforeAutospacing="1" w:line="276" w:lineRule="auto"/>
              <w:ind w:left="360" w:hanging="360"/>
              <w:contextualSpacing/>
              <w:jc w:val="both"/>
              <w:rPr>
                <w:i/>
              </w:rPr>
            </w:pPr>
            <w:r>
              <w:rPr>
                <w:i/>
              </w:rPr>
              <w:t>Question</w:t>
            </w:r>
          </w:p>
        </w:tc>
        <w:tc>
          <w:tcPr>
            <w:tcW w:w="2224" w:type="dxa"/>
            <w:tcBorders>
              <w:top w:val="single" w:sz="12" w:space="0" w:color="auto"/>
              <w:left w:val="nil"/>
              <w:bottom w:val="single" w:sz="6" w:space="0" w:color="auto"/>
              <w:right w:val="nil"/>
            </w:tcBorders>
            <w:hideMark/>
          </w:tcPr>
          <w:p w:rsidR="00A33F84" w:rsidRDefault="00A33F84">
            <w:pPr>
              <w:spacing w:before="100" w:beforeAutospacing="1" w:line="276" w:lineRule="auto"/>
              <w:ind w:left="360" w:hanging="360"/>
              <w:contextualSpacing/>
              <w:jc w:val="both"/>
              <w:rPr>
                <w:i/>
              </w:rPr>
            </w:pPr>
            <w:r>
              <w:rPr>
                <w:i/>
              </w:rPr>
              <w:t>Accounting Income</w:t>
            </w:r>
          </w:p>
        </w:tc>
        <w:tc>
          <w:tcPr>
            <w:tcW w:w="2096" w:type="dxa"/>
            <w:tcBorders>
              <w:top w:val="single" w:sz="12" w:space="0" w:color="auto"/>
              <w:left w:val="nil"/>
              <w:bottom w:val="single" w:sz="6" w:space="0" w:color="auto"/>
              <w:right w:val="nil"/>
            </w:tcBorders>
            <w:hideMark/>
          </w:tcPr>
          <w:p w:rsidR="00A33F84" w:rsidRDefault="00A33F84">
            <w:pPr>
              <w:spacing w:before="100" w:beforeAutospacing="1" w:line="276" w:lineRule="auto"/>
              <w:ind w:left="360" w:hanging="360"/>
              <w:contextualSpacing/>
              <w:jc w:val="both"/>
              <w:rPr>
                <w:i/>
              </w:rPr>
            </w:pPr>
            <w:r>
              <w:rPr>
                <w:i/>
              </w:rPr>
              <w:t>Economic Income</w:t>
            </w:r>
          </w:p>
        </w:tc>
      </w:tr>
      <w:tr w:rsidR="00A33F84" w:rsidTr="00A33F84">
        <w:trPr>
          <w:cantSplit/>
        </w:trPr>
        <w:tc>
          <w:tcPr>
            <w:tcW w:w="1346" w:type="dxa"/>
            <w:hideMark/>
          </w:tcPr>
          <w:p w:rsidR="00A33F84" w:rsidRDefault="00A33F84">
            <w:pPr>
              <w:spacing w:before="100" w:beforeAutospacing="1" w:line="276" w:lineRule="auto"/>
              <w:ind w:left="360" w:hanging="360"/>
              <w:contextualSpacing/>
              <w:jc w:val="both"/>
            </w:pPr>
            <w:r>
              <w:t>a</w:t>
            </w:r>
          </w:p>
        </w:tc>
        <w:tc>
          <w:tcPr>
            <w:tcW w:w="2224" w:type="dxa"/>
            <w:hideMark/>
          </w:tcPr>
          <w:p w:rsidR="00A33F84" w:rsidRDefault="00A33F84">
            <w:pPr>
              <w:spacing w:before="100" w:beforeAutospacing="1" w:line="276" w:lineRule="auto"/>
              <w:ind w:left="360" w:hanging="360"/>
              <w:contextualSpacing/>
              <w:jc w:val="both"/>
            </w:pPr>
            <w:r>
              <w:t>$20 million</w:t>
            </w:r>
          </w:p>
        </w:tc>
        <w:tc>
          <w:tcPr>
            <w:tcW w:w="2096" w:type="dxa"/>
            <w:hideMark/>
          </w:tcPr>
          <w:p w:rsidR="00A33F84" w:rsidRDefault="00A33F84">
            <w:pPr>
              <w:spacing w:before="100" w:beforeAutospacing="1" w:line="276" w:lineRule="auto"/>
              <w:ind w:left="360" w:hanging="360"/>
              <w:contextualSpacing/>
              <w:jc w:val="both"/>
            </w:pPr>
            <w:r>
              <w:t>$20 million</w:t>
            </w:r>
          </w:p>
        </w:tc>
      </w:tr>
      <w:tr w:rsidR="00A33F84" w:rsidTr="00A33F84">
        <w:trPr>
          <w:cantSplit/>
        </w:trPr>
        <w:tc>
          <w:tcPr>
            <w:tcW w:w="1346" w:type="dxa"/>
            <w:hideMark/>
          </w:tcPr>
          <w:p w:rsidR="00A33F84" w:rsidRDefault="00A33F84">
            <w:pPr>
              <w:spacing w:before="100" w:beforeAutospacing="1" w:line="276" w:lineRule="auto"/>
              <w:ind w:left="360" w:hanging="360"/>
              <w:contextualSpacing/>
              <w:jc w:val="both"/>
            </w:pPr>
            <w:r>
              <w:t>b</w:t>
            </w:r>
          </w:p>
        </w:tc>
        <w:tc>
          <w:tcPr>
            <w:tcW w:w="2224" w:type="dxa"/>
            <w:hideMark/>
          </w:tcPr>
          <w:p w:rsidR="00A33F84" w:rsidRDefault="00A33F84">
            <w:pPr>
              <w:spacing w:before="100" w:beforeAutospacing="1" w:line="276" w:lineRule="auto"/>
              <w:ind w:left="360" w:hanging="360"/>
              <w:contextualSpacing/>
              <w:jc w:val="both"/>
            </w:pPr>
            <w:r>
              <w:t>0</w:t>
            </w:r>
          </w:p>
        </w:tc>
        <w:tc>
          <w:tcPr>
            <w:tcW w:w="2096" w:type="dxa"/>
            <w:hideMark/>
          </w:tcPr>
          <w:p w:rsidR="00A33F84" w:rsidRDefault="00A33F84">
            <w:pPr>
              <w:spacing w:before="100" w:beforeAutospacing="1" w:line="276" w:lineRule="auto"/>
              <w:ind w:left="360" w:hanging="360"/>
              <w:contextualSpacing/>
              <w:jc w:val="both"/>
            </w:pPr>
            <w:r>
              <w:t>$20 million</w:t>
            </w:r>
          </w:p>
        </w:tc>
      </w:tr>
      <w:tr w:rsidR="00A33F84" w:rsidTr="00A33F84">
        <w:trPr>
          <w:cantSplit/>
        </w:trPr>
        <w:tc>
          <w:tcPr>
            <w:tcW w:w="1346" w:type="dxa"/>
            <w:hideMark/>
          </w:tcPr>
          <w:p w:rsidR="00A33F84" w:rsidRDefault="00A33F84">
            <w:pPr>
              <w:spacing w:before="100" w:beforeAutospacing="1" w:line="276" w:lineRule="auto"/>
              <w:ind w:left="360" w:hanging="360"/>
              <w:contextualSpacing/>
              <w:jc w:val="both"/>
            </w:pPr>
            <w:r>
              <w:t>c</w:t>
            </w:r>
          </w:p>
        </w:tc>
        <w:tc>
          <w:tcPr>
            <w:tcW w:w="2224" w:type="dxa"/>
            <w:hideMark/>
          </w:tcPr>
          <w:p w:rsidR="00A33F84" w:rsidRDefault="00A33F84">
            <w:pPr>
              <w:spacing w:before="100" w:beforeAutospacing="1" w:line="276" w:lineRule="auto"/>
              <w:ind w:left="360" w:hanging="360"/>
              <w:contextualSpacing/>
              <w:jc w:val="both"/>
            </w:pPr>
            <w:r>
              <w:t>–$10 million</w:t>
            </w:r>
          </w:p>
        </w:tc>
        <w:tc>
          <w:tcPr>
            <w:tcW w:w="2096" w:type="dxa"/>
            <w:hideMark/>
          </w:tcPr>
          <w:p w:rsidR="00A33F84" w:rsidRDefault="00A33F84">
            <w:pPr>
              <w:spacing w:before="100" w:beforeAutospacing="1" w:line="276" w:lineRule="auto"/>
              <w:ind w:left="360" w:hanging="360"/>
              <w:contextualSpacing/>
              <w:jc w:val="both"/>
            </w:pPr>
            <w:r>
              <w:t>$20 million</w:t>
            </w:r>
          </w:p>
        </w:tc>
      </w:tr>
      <w:tr w:rsidR="00A33F84" w:rsidTr="00A33F84">
        <w:trPr>
          <w:cantSplit/>
        </w:trPr>
        <w:tc>
          <w:tcPr>
            <w:tcW w:w="1346" w:type="dxa"/>
            <w:tcBorders>
              <w:top w:val="nil"/>
              <w:left w:val="nil"/>
              <w:bottom w:val="single" w:sz="12" w:space="0" w:color="auto"/>
              <w:right w:val="nil"/>
            </w:tcBorders>
            <w:hideMark/>
          </w:tcPr>
          <w:p w:rsidR="00A33F84" w:rsidRDefault="00A33F84">
            <w:pPr>
              <w:spacing w:before="100" w:beforeAutospacing="1" w:line="276" w:lineRule="auto"/>
              <w:ind w:left="360" w:hanging="360"/>
              <w:contextualSpacing/>
              <w:jc w:val="both"/>
            </w:pPr>
            <w:r>
              <w:t>d</w:t>
            </w:r>
          </w:p>
        </w:tc>
        <w:tc>
          <w:tcPr>
            <w:tcW w:w="2224" w:type="dxa"/>
            <w:tcBorders>
              <w:top w:val="nil"/>
              <w:left w:val="nil"/>
              <w:bottom w:val="single" w:sz="12" w:space="0" w:color="auto"/>
              <w:right w:val="nil"/>
            </w:tcBorders>
            <w:hideMark/>
          </w:tcPr>
          <w:p w:rsidR="00A33F84" w:rsidRDefault="00A33F84">
            <w:pPr>
              <w:spacing w:before="100" w:beforeAutospacing="1" w:line="276" w:lineRule="auto"/>
              <w:ind w:left="360" w:hanging="360"/>
              <w:contextualSpacing/>
              <w:jc w:val="both"/>
            </w:pPr>
            <w:r>
              <w:t>$30 million</w:t>
            </w:r>
          </w:p>
        </w:tc>
        <w:tc>
          <w:tcPr>
            <w:tcW w:w="2096" w:type="dxa"/>
            <w:tcBorders>
              <w:top w:val="nil"/>
              <w:left w:val="nil"/>
              <w:bottom w:val="single" w:sz="12" w:space="0" w:color="auto"/>
              <w:right w:val="nil"/>
            </w:tcBorders>
            <w:hideMark/>
          </w:tcPr>
          <w:p w:rsidR="00A33F84" w:rsidRDefault="00A33F84">
            <w:pPr>
              <w:spacing w:before="100" w:beforeAutospacing="1" w:line="276" w:lineRule="auto"/>
              <w:ind w:left="360" w:hanging="360"/>
              <w:contextualSpacing/>
              <w:jc w:val="both"/>
            </w:pPr>
            <w:r>
              <w:t>$20 million</w:t>
            </w:r>
          </w:p>
        </w:tc>
      </w:tr>
    </w:tbl>
    <w:p w:rsidR="00A33F84" w:rsidRDefault="00A33F84" w:rsidP="00A33F84">
      <w:pPr>
        <w:pStyle w:val="a3"/>
        <w:tabs>
          <w:tab w:val="left" w:pos="360"/>
        </w:tabs>
        <w:spacing w:before="240" w:line="276" w:lineRule="auto"/>
        <w:ind w:left="720" w:hanging="720"/>
        <w:contextualSpacing/>
        <w:jc w:val="both"/>
      </w:pPr>
      <w:r>
        <w:tab/>
        <w:t>e.</w:t>
      </w:r>
      <w:r>
        <w:tab/>
        <w:t>Too many companies have tried this.  If the market value of a piece of land falls, the owner loses whether he sells or not.  The market price of the land fell because people thought the future income stream to the owners was worth less.  Continuing to hold the property forces the owner to accept the lower income.  Whether the loss is recognized or not might affect accounting earnings, but has nothing to do with reality.</w:t>
      </w:r>
    </w:p>
    <w:p w:rsidR="00A33F84" w:rsidRDefault="00A33F84" w:rsidP="00A33F84">
      <w:pPr>
        <w:spacing w:before="240" w:line="276" w:lineRule="auto"/>
        <w:ind w:left="360" w:hanging="360"/>
        <w:contextualSpacing/>
        <w:jc w:val="both"/>
      </w:pPr>
      <w:r>
        <w:t>10.</w:t>
      </w:r>
      <w:r>
        <w:tab/>
        <w:t>The accounting profits from Jonathan’s brewery are expected to be $40,000. These accounting profits do not include the implicit cost of the entrepreneur’s time. Jonathan’s time is worth at least $62,000, the current income he will have to forego to manage the brewery.  When these implicit opportunity costs are included net income falls to:</w:t>
      </w:r>
    </w:p>
    <w:p w:rsidR="00A33F84" w:rsidRDefault="00A33F84" w:rsidP="00A33F84">
      <w:pPr>
        <w:spacing w:before="240" w:line="276" w:lineRule="auto"/>
        <w:ind w:left="360" w:hanging="360"/>
        <w:contextualSpacing/>
        <w:jc w:val="both"/>
      </w:pPr>
      <w:r>
        <w:tab/>
      </w:r>
      <w:r>
        <w:tab/>
        <w:t>$230,000 – $190,000 – $62,000 = –$22,000</w:t>
      </w:r>
    </w:p>
    <w:p w:rsidR="00A33F84" w:rsidRDefault="00A33F84" w:rsidP="00A33F84">
      <w:pPr>
        <w:spacing w:before="100" w:beforeAutospacing="1" w:line="276" w:lineRule="auto"/>
        <w:ind w:left="360" w:hanging="360"/>
        <w:contextualSpacing/>
        <w:jc w:val="both"/>
      </w:pPr>
      <w:r>
        <w:t>This new venture will reduce Jonathan’s income not increase it.</w:t>
      </w:r>
    </w:p>
    <w:p w:rsidR="00A33F84" w:rsidRDefault="00A33F84" w:rsidP="00A33F84">
      <w:pPr>
        <w:spacing w:line="276" w:lineRule="auto"/>
        <w:ind w:left="360" w:hanging="360"/>
        <w:contextualSpacing/>
        <w:jc w:val="both"/>
      </w:pPr>
    </w:p>
    <w:p w:rsidR="00A33F84" w:rsidRDefault="00A33F84" w:rsidP="00A33F84">
      <w:pPr>
        <w:pStyle w:val="a3"/>
        <w:tabs>
          <w:tab w:val="left" w:pos="360"/>
        </w:tabs>
        <w:spacing w:before="240" w:line="276" w:lineRule="auto"/>
        <w:ind w:left="720" w:hanging="720"/>
        <w:contextualSpacing/>
        <w:jc w:val="both"/>
      </w:pPr>
      <w:r>
        <w:t>12.</w:t>
      </w:r>
      <w:r>
        <w:tab/>
        <w:t>a.</w:t>
      </w:r>
    </w:p>
    <w:p w:rsidR="00A33F84" w:rsidRDefault="00A33F84" w:rsidP="00A33F84">
      <w:pPr>
        <w:pBdr>
          <w:top w:val="single" w:sz="12" w:space="1" w:color="auto"/>
          <w:bottom w:val="single" w:sz="6" w:space="1" w:color="auto"/>
        </w:pBdr>
        <w:tabs>
          <w:tab w:val="left" w:pos="1440"/>
          <w:tab w:val="left" w:pos="3150"/>
          <w:tab w:val="left" w:pos="4590"/>
          <w:tab w:val="left" w:pos="6210"/>
        </w:tabs>
        <w:spacing w:before="120" w:line="276" w:lineRule="auto"/>
        <w:ind w:left="360" w:hanging="360"/>
        <w:contextualSpacing/>
        <w:jc w:val="both"/>
        <w:rPr>
          <w:i/>
        </w:rPr>
      </w:pPr>
      <w:r>
        <w:rPr>
          <w:i/>
        </w:rPr>
        <w:tab/>
        <w:t>Company</w:t>
      </w:r>
      <w:r>
        <w:rPr>
          <w:i/>
        </w:rPr>
        <w:tab/>
      </w:r>
      <w:r>
        <w:rPr>
          <w:i/>
        </w:rPr>
        <w:tab/>
        <w:t xml:space="preserve">  A</w:t>
      </w:r>
      <w:r>
        <w:rPr>
          <w:i/>
        </w:rPr>
        <w:tab/>
        <w:t>B</w:t>
      </w:r>
      <w:r>
        <w:rPr>
          <w:i/>
        </w:rPr>
        <w:tab/>
        <w:t>C</w:t>
      </w:r>
    </w:p>
    <w:p w:rsidR="00A33F84" w:rsidRDefault="00A33F84" w:rsidP="00A33F84">
      <w:pPr>
        <w:spacing w:before="120" w:line="276" w:lineRule="auto"/>
        <w:ind w:left="360" w:hanging="360"/>
        <w:contextualSpacing/>
        <w:jc w:val="both"/>
      </w:pPr>
      <w:r>
        <w:tab/>
        <w:t>End-of-year cash</w:t>
      </w:r>
    </w:p>
    <w:p w:rsidR="00A33F84" w:rsidRDefault="00A33F84" w:rsidP="00A33F84">
      <w:pPr>
        <w:tabs>
          <w:tab w:val="left" w:pos="1080"/>
          <w:tab w:val="left" w:pos="2610"/>
          <w:tab w:val="left" w:pos="3420"/>
          <w:tab w:val="left" w:pos="4140"/>
          <w:tab w:val="left" w:pos="5760"/>
        </w:tabs>
        <w:spacing w:line="276" w:lineRule="auto"/>
        <w:ind w:left="360" w:hanging="360"/>
        <w:contextualSpacing/>
        <w:jc w:val="both"/>
      </w:pPr>
      <w:r>
        <w:tab/>
        <w:t>Balance</w:t>
      </w:r>
      <w:r>
        <w:tab/>
        <w:t>$150 million</w:t>
      </w:r>
      <w:r>
        <w:tab/>
        <w:t>$30 million</w:t>
      </w:r>
      <w:r>
        <w:tab/>
        <w:t>$120 million</w:t>
      </w:r>
    </w:p>
    <w:p w:rsidR="00A33F84" w:rsidRDefault="00A33F84" w:rsidP="00A33F84">
      <w:pPr>
        <w:pBdr>
          <w:top w:val="single" w:sz="12" w:space="1" w:color="auto"/>
        </w:pBdr>
        <w:tabs>
          <w:tab w:val="left" w:pos="1440"/>
          <w:tab w:val="right" w:pos="6390"/>
        </w:tabs>
        <w:spacing w:before="120" w:line="276" w:lineRule="auto"/>
        <w:ind w:left="360" w:hanging="360"/>
        <w:contextualSpacing/>
        <w:jc w:val="both"/>
      </w:pPr>
    </w:p>
    <w:p w:rsidR="00A33F84" w:rsidRDefault="00A33F84" w:rsidP="00A33F84">
      <w:pPr>
        <w:tabs>
          <w:tab w:val="left" w:pos="360"/>
          <w:tab w:val="left" w:pos="720"/>
        </w:tabs>
        <w:spacing w:before="240" w:line="276" w:lineRule="auto"/>
        <w:ind w:left="720" w:hanging="720"/>
        <w:contextualSpacing/>
        <w:jc w:val="both"/>
      </w:pPr>
      <w:r>
        <w:tab/>
        <w:t>b.</w:t>
      </w:r>
      <w:r>
        <w:tab/>
        <w:t>It appears that company C retired more debt than it issued, repurchased more stock than it issued, or some combination of the two.</w:t>
      </w:r>
    </w:p>
    <w:p w:rsidR="00A33F84" w:rsidRDefault="00A33F84" w:rsidP="00A33F84">
      <w:pPr>
        <w:tabs>
          <w:tab w:val="left" w:pos="360"/>
          <w:tab w:val="left" w:pos="720"/>
        </w:tabs>
        <w:spacing w:before="240" w:line="276" w:lineRule="auto"/>
        <w:ind w:left="720" w:hanging="720"/>
        <w:contextualSpacing/>
        <w:jc w:val="both"/>
      </w:pPr>
      <w:r>
        <w:tab/>
        <w:t>c.</w:t>
      </w:r>
      <w:r>
        <w:tab/>
        <w:t xml:space="preserve">I'd prefer to own company A.  A appears to be a growing company as evidenced by the sizable net cash used in investing activities, and its negative net cash flow from operations may well be due to increasing accounts receivable and inventories that naturally accompany sales growth.  Company B appears not to be growing, so its </w:t>
      </w:r>
      <w:r>
        <w:lastRenderedPageBreak/>
        <w:t>negative net cash flows from operations are probably due to losses or to increasing receivables and inventories relative to sales, a trend denoting poor management of current assets.</w:t>
      </w:r>
    </w:p>
    <w:p w:rsidR="00A33F84" w:rsidRDefault="00A33F84" w:rsidP="00A33F84">
      <w:pPr>
        <w:tabs>
          <w:tab w:val="left" w:pos="360"/>
          <w:tab w:val="left" w:pos="720"/>
        </w:tabs>
        <w:spacing w:before="240" w:line="276" w:lineRule="auto"/>
        <w:ind w:left="720" w:hanging="720"/>
        <w:contextualSpacing/>
        <w:jc w:val="both"/>
      </w:pPr>
      <w:r>
        <w:tab/>
        <w:t>d.</w:t>
      </w:r>
      <w:r>
        <w:tab/>
        <w:t>I don't think there is necessarily any cause for concern.  It appears company C is a mature, slow-growth company that is returning its unneeded operating cash flows to investors in the form of debt repayment, share repurchase, dividends, or some combination of these.  This is a perfectly viable strategy in the absence of attractive investment opportunities.</w:t>
      </w:r>
    </w:p>
    <w:p w:rsidR="00A33F84" w:rsidRDefault="00A33F84" w:rsidP="00A33F84">
      <w:pPr>
        <w:spacing w:before="240" w:line="276" w:lineRule="auto"/>
        <w:ind w:left="360" w:hanging="360"/>
        <w:contextualSpacing/>
        <w:jc w:val="both"/>
      </w:pPr>
    </w:p>
    <w:p w:rsidR="00A33F84" w:rsidRDefault="00A33F84" w:rsidP="00A33F84">
      <w:pPr>
        <w:pStyle w:val="20"/>
        <w:ind w:left="0"/>
        <w:contextualSpacing/>
        <w:rPr>
          <w:szCs w:val="24"/>
        </w:rPr>
      </w:pPr>
      <w:r>
        <w:t>14.</w:t>
      </w:r>
      <w:r>
        <w:tab/>
        <w:t xml:space="preserve">See Excel solutions at </w:t>
      </w:r>
      <w:r>
        <w:rPr>
          <w:b/>
          <w:bCs/>
        </w:rPr>
        <w:t xml:space="preserve">mhhe.com/higgins11e.  </w:t>
      </w:r>
    </w:p>
    <w:p w:rsidR="00A33F84" w:rsidRDefault="00A33F84" w:rsidP="00A33F84">
      <w:pPr>
        <w:spacing w:before="240" w:line="276" w:lineRule="auto"/>
        <w:ind w:left="360" w:hanging="360"/>
        <w:contextualSpacing/>
        <w:jc w:val="both"/>
      </w:pPr>
    </w:p>
    <w:p w:rsidR="00713EBC" w:rsidRDefault="00713EBC">
      <w:bookmarkStart w:id="0" w:name="_GoBack"/>
      <w:bookmarkEnd w:id="0"/>
    </w:p>
    <w:sectPr w:rsidR="00713EBC" w:rsidSect="009B377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F5"/>
    <w:rsid w:val="00020EF5"/>
    <w:rsid w:val="00713EBC"/>
    <w:rsid w:val="009B377A"/>
    <w:rsid w:val="00A33F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F84"/>
    <w:pPr>
      <w:spacing w:after="0" w:line="240" w:lineRule="auto"/>
    </w:pPr>
    <w:rPr>
      <w:rFonts w:ascii="Times New Roman" w:eastAsia="Times New Roman" w:hAnsi="Times New Roman" w:cs="Times New Roman"/>
      <w:sz w:val="24"/>
      <w:szCs w:val="24"/>
    </w:rPr>
  </w:style>
  <w:style w:type="paragraph" w:styleId="2">
    <w:name w:val="heading 2"/>
    <w:basedOn w:val="a"/>
    <w:next w:val="a"/>
    <w:link w:val="2Char"/>
    <w:semiHidden/>
    <w:unhideWhenUsed/>
    <w:qFormat/>
    <w:rsid w:val="00A33F84"/>
    <w:pPr>
      <w:keepNext/>
      <w:autoSpaceDE w:val="0"/>
      <w:autoSpaceDN w:val="0"/>
      <w:ind w:left="270" w:hanging="270"/>
      <w:outlineLvl w:val="1"/>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semiHidden/>
    <w:rsid w:val="00A33F84"/>
    <w:rPr>
      <w:rFonts w:ascii="Times New Roman" w:eastAsia="Times New Roman" w:hAnsi="Times New Roman" w:cs="Times New Roman"/>
      <w:b/>
      <w:bCs/>
      <w:sz w:val="24"/>
      <w:szCs w:val="20"/>
    </w:rPr>
  </w:style>
  <w:style w:type="paragraph" w:styleId="a3">
    <w:name w:val="Body Text Indent"/>
    <w:basedOn w:val="a"/>
    <w:link w:val="Char"/>
    <w:semiHidden/>
    <w:unhideWhenUsed/>
    <w:rsid w:val="00A33F84"/>
    <w:pPr>
      <w:autoSpaceDE w:val="0"/>
      <w:autoSpaceDN w:val="0"/>
      <w:ind w:left="270" w:hanging="270"/>
    </w:pPr>
    <w:rPr>
      <w:szCs w:val="20"/>
    </w:rPr>
  </w:style>
  <w:style w:type="character" w:customStyle="1" w:styleId="Char">
    <w:name w:val="نص أساسي بمسافة بادئة Char"/>
    <w:basedOn w:val="a0"/>
    <w:link w:val="a3"/>
    <w:semiHidden/>
    <w:rsid w:val="00A33F84"/>
    <w:rPr>
      <w:rFonts w:ascii="Times New Roman" w:eastAsia="Times New Roman" w:hAnsi="Times New Roman" w:cs="Times New Roman"/>
      <w:sz w:val="24"/>
      <w:szCs w:val="20"/>
    </w:rPr>
  </w:style>
  <w:style w:type="paragraph" w:styleId="20">
    <w:name w:val="Body Text Indent 2"/>
    <w:basedOn w:val="a"/>
    <w:link w:val="2Char0"/>
    <w:semiHidden/>
    <w:unhideWhenUsed/>
    <w:rsid w:val="00A33F84"/>
    <w:pPr>
      <w:autoSpaceDE w:val="0"/>
      <w:autoSpaceDN w:val="0"/>
      <w:ind w:left="180"/>
    </w:pPr>
    <w:rPr>
      <w:szCs w:val="20"/>
    </w:rPr>
  </w:style>
  <w:style w:type="character" w:customStyle="1" w:styleId="2Char0">
    <w:name w:val="نص أساسي بمسافة بادئة 2 Char"/>
    <w:basedOn w:val="a0"/>
    <w:link w:val="20"/>
    <w:semiHidden/>
    <w:rsid w:val="00A33F84"/>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F84"/>
    <w:pPr>
      <w:spacing w:after="0" w:line="240" w:lineRule="auto"/>
    </w:pPr>
    <w:rPr>
      <w:rFonts w:ascii="Times New Roman" w:eastAsia="Times New Roman" w:hAnsi="Times New Roman" w:cs="Times New Roman"/>
      <w:sz w:val="24"/>
      <w:szCs w:val="24"/>
    </w:rPr>
  </w:style>
  <w:style w:type="paragraph" w:styleId="2">
    <w:name w:val="heading 2"/>
    <w:basedOn w:val="a"/>
    <w:next w:val="a"/>
    <w:link w:val="2Char"/>
    <w:semiHidden/>
    <w:unhideWhenUsed/>
    <w:qFormat/>
    <w:rsid w:val="00A33F84"/>
    <w:pPr>
      <w:keepNext/>
      <w:autoSpaceDE w:val="0"/>
      <w:autoSpaceDN w:val="0"/>
      <w:ind w:left="270" w:hanging="270"/>
      <w:outlineLvl w:val="1"/>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semiHidden/>
    <w:rsid w:val="00A33F84"/>
    <w:rPr>
      <w:rFonts w:ascii="Times New Roman" w:eastAsia="Times New Roman" w:hAnsi="Times New Roman" w:cs="Times New Roman"/>
      <w:b/>
      <w:bCs/>
      <w:sz w:val="24"/>
      <w:szCs w:val="20"/>
    </w:rPr>
  </w:style>
  <w:style w:type="paragraph" w:styleId="a3">
    <w:name w:val="Body Text Indent"/>
    <w:basedOn w:val="a"/>
    <w:link w:val="Char"/>
    <w:semiHidden/>
    <w:unhideWhenUsed/>
    <w:rsid w:val="00A33F84"/>
    <w:pPr>
      <w:autoSpaceDE w:val="0"/>
      <w:autoSpaceDN w:val="0"/>
      <w:ind w:left="270" w:hanging="270"/>
    </w:pPr>
    <w:rPr>
      <w:szCs w:val="20"/>
    </w:rPr>
  </w:style>
  <w:style w:type="character" w:customStyle="1" w:styleId="Char">
    <w:name w:val="نص أساسي بمسافة بادئة Char"/>
    <w:basedOn w:val="a0"/>
    <w:link w:val="a3"/>
    <w:semiHidden/>
    <w:rsid w:val="00A33F84"/>
    <w:rPr>
      <w:rFonts w:ascii="Times New Roman" w:eastAsia="Times New Roman" w:hAnsi="Times New Roman" w:cs="Times New Roman"/>
      <w:sz w:val="24"/>
      <w:szCs w:val="20"/>
    </w:rPr>
  </w:style>
  <w:style w:type="paragraph" w:styleId="20">
    <w:name w:val="Body Text Indent 2"/>
    <w:basedOn w:val="a"/>
    <w:link w:val="2Char0"/>
    <w:semiHidden/>
    <w:unhideWhenUsed/>
    <w:rsid w:val="00A33F84"/>
    <w:pPr>
      <w:autoSpaceDE w:val="0"/>
      <w:autoSpaceDN w:val="0"/>
      <w:ind w:left="180"/>
    </w:pPr>
    <w:rPr>
      <w:szCs w:val="20"/>
    </w:rPr>
  </w:style>
  <w:style w:type="character" w:customStyle="1" w:styleId="2Char0">
    <w:name w:val="نص أساسي بمسافة بادئة 2 Char"/>
    <w:basedOn w:val="a0"/>
    <w:link w:val="20"/>
    <w:semiHidden/>
    <w:rsid w:val="00A33F8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68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724</Words>
  <Characters>4127</Characters>
  <Application>Microsoft Office Word</Application>
  <DocSecurity>0</DocSecurity>
  <Lines>34</Lines>
  <Paragraphs>9</Paragraphs>
  <ScaleCrop>false</ScaleCrop>
  <Company/>
  <LinksUpToDate>false</LinksUpToDate>
  <CharactersWithSpaces>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ahmdad</dc:creator>
  <cp:keywords/>
  <dc:description/>
  <cp:lastModifiedBy>ahmdad</cp:lastModifiedBy>
  <cp:revision>3</cp:revision>
  <dcterms:created xsi:type="dcterms:W3CDTF">2018-10-14T00:16:00Z</dcterms:created>
  <dcterms:modified xsi:type="dcterms:W3CDTF">2018-10-14T00:16:00Z</dcterms:modified>
</cp:coreProperties>
</file>