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44E9" w:rsidRDefault="001A6685">
      <w:pPr>
        <w:spacing w:line="240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0" w:name="_15d7aon6u19p" w:colFirst="0" w:colLast="0"/>
      <w:bookmarkEnd w:id="0"/>
      <w:r>
        <w:rPr>
          <w:rFonts w:ascii="Calibri" w:eastAsia="Calibri" w:hAnsi="Calibri" w:cs="Calibri"/>
          <w:b/>
          <w:sz w:val="20"/>
          <w:szCs w:val="20"/>
          <w:highlight w:val="white"/>
        </w:rPr>
        <w:t>Beat the Clock</w:t>
      </w:r>
    </w:p>
    <w:p w:rsidR="000444E9" w:rsidRDefault="001A6685">
      <w:pPr>
        <w:spacing w:line="240" w:lineRule="auto"/>
        <w:rPr>
          <w:rFonts w:ascii="Calibri" w:eastAsia="Calibri" w:hAnsi="Calibri" w:cs="Calibri"/>
          <w:b/>
          <w:sz w:val="20"/>
          <w:szCs w:val="20"/>
          <w:highlight w:val="white"/>
        </w:rPr>
      </w:pPr>
      <w:bookmarkStart w:id="1" w:name="_e7yqc59i9bb3" w:colFirst="0" w:colLast="0"/>
      <w:bookmarkEnd w:id="1"/>
      <w:r>
        <w:rPr>
          <w:rFonts w:ascii="Calibri" w:eastAsia="Calibri" w:hAnsi="Calibri" w:cs="Calibri"/>
          <w:i/>
          <w:sz w:val="20"/>
          <w:szCs w:val="20"/>
          <w:highlight w:val="white"/>
        </w:rPr>
        <w:t>Chapter 1 INTRODUCTION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An international student that goes to work for an MNE in the country where she is studying is a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PCN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TCN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not enough information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If she is an Australian studying in the UK, and the MNE is Australian, she would be a PCN.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If the MNE is UK-based, then she would be a TCN.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3.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If a person goes to work for a foreign-based MNE in the country he was born, then he is a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PCN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TCN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not enough information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He is a HCN, a host country national,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by definition of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HCN.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3.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What type of expatriate is a MNE most likely to have if it is starting to go international after many years of domestic market bliss?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PCN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TCN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not enough information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PCN, because a PCN carries less risk as far as already knowing the company culture and expectations.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7.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New behaviors and customs can cause expatriates to become psychologically disoriented. They are experiencing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Laurent’s first step to true IHRM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culture shock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global mindset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negative host country feelings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This is a symptom of culture shock. </w:t>
      </w:r>
      <w:r>
        <w:rPr>
          <w:rFonts w:ascii="Calibri" w:eastAsia="Calibri" w:hAnsi="Calibri" w:cs="Calibri"/>
          <w:sz w:val="20"/>
          <w:szCs w:val="20"/>
          <w:highlight w:val="white"/>
        </w:rPr>
        <w:t>They may or may not have negative feelings about the host country depending on how they deal with their psychological disorientation.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9.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An MNE is this kind of industry when its competitive position in one country is significantly influenced by its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position in other countries.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international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multidomestic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global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networked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This MNE is a global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industry by definition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11.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r>
        <w:br w:type="page"/>
      </w:r>
    </w:p>
    <w:p w:rsidR="000444E9" w:rsidRDefault="000444E9">
      <w:p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The index of transnationality is an indication of an MNE’s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reliance on home market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foreign to to</w:t>
      </w:r>
      <w:r>
        <w:rPr>
          <w:rFonts w:ascii="Calibri" w:eastAsia="Calibri" w:hAnsi="Calibri" w:cs="Calibri"/>
          <w:sz w:val="20"/>
          <w:szCs w:val="20"/>
          <w:highlight w:val="white"/>
        </w:rPr>
        <w:t>tal assets ratio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foreign to total employment ratio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all of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the above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All of the above are true by definition of the index of transnationality.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12.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Which of these do NOT moderate differences between domestic HRM and IHRM?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inherent comple</w:t>
      </w:r>
      <w:r>
        <w:rPr>
          <w:rFonts w:ascii="Calibri" w:eastAsia="Calibri" w:hAnsi="Calibri" w:cs="Calibri"/>
          <w:sz w:val="20"/>
          <w:szCs w:val="20"/>
          <w:highlight w:val="white"/>
        </w:rPr>
        <w:t>xity of IHRM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cultural context of IHRM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transnationality index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differences in employee productivity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), (</w:t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), and (</w:t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are three of the five moderating variables for the differences between IHRM and domestic HRM, described in figure 1.3. (d)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has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to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do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with employee productivity, w</w:t>
      </w:r>
      <w:r>
        <w:rPr>
          <w:rFonts w:ascii="Calibri" w:eastAsia="Calibri" w:hAnsi="Calibri" w:cs="Calibri"/>
          <w:sz w:val="20"/>
          <w:szCs w:val="20"/>
          <w:highlight w:val="white"/>
        </w:rPr>
        <w:t>hich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is something both domestic and international HRM must do.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9.</w:t>
      </w:r>
    </w:p>
    <w:p w:rsidR="000444E9" w:rsidRDefault="000444E9">
      <w:pPr>
        <w:spacing w:line="240" w:lineRule="auto"/>
        <w:ind w:left="360"/>
        <w:rPr>
          <w:rFonts w:ascii="Calibri" w:eastAsia="Calibri" w:hAnsi="Calibri" w:cs="Calibri"/>
          <w:sz w:val="20"/>
          <w:szCs w:val="20"/>
        </w:rPr>
      </w:pP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“What you do, where you do it, and with who” is a nice way to remember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Stahl-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Björkman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-Morris definition of IHRM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Morgan’s 3-D definition of </w:t>
      </w:r>
      <w:r>
        <w:rPr>
          <w:rFonts w:ascii="Calibri" w:eastAsia="Calibri" w:hAnsi="Calibri" w:cs="Calibri"/>
          <w:sz w:val="20"/>
          <w:szCs w:val="20"/>
          <w:highlight w:val="white"/>
        </w:rPr>
        <w:t>IHRM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different IHRM approaches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three IHRM employee types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What you do = HR activities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Where you do it = host, parent, or other country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With who you do it = HCNs, PCNs, and TCNs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It 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could be argued that </w:t>
      </w:r>
      <w:r>
        <w:rPr>
          <w:rFonts w:ascii="Calibri" w:eastAsia="Calibri" w:hAnsi="Calibri" w:cs="Calibri"/>
          <w:sz w:val="20"/>
          <w:szCs w:val="20"/>
          <w:highlight w:val="white"/>
        </w:rPr>
        <w:t>(d) is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a way for understanding the difference between PCNs, HCNs and TCNs, except for the “what you do” parameter, which any employee type can do.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pp. 2-4.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 xml:space="preserve">Which of the following is </w:t>
      </w:r>
      <w:r>
        <w:rPr>
          <w:rFonts w:ascii="Calibri" w:eastAsia="Calibri" w:hAnsi="Calibri" w:cs="Calibri"/>
          <w:sz w:val="20"/>
          <w:szCs w:val="20"/>
          <w:highlight w:val="white"/>
        </w:rPr>
        <w:t>NOT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a distinctively IHRM activity?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international relocation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>) internati</w:t>
      </w:r>
      <w:r>
        <w:rPr>
          <w:rFonts w:ascii="Calibri" w:eastAsia="Calibri" w:hAnsi="Calibri" w:cs="Calibri"/>
          <w:sz w:val="20"/>
          <w:szCs w:val="20"/>
          <w:highlight w:val="white"/>
        </w:rPr>
        <w:t>onal taxation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recruitment </w:t>
      </w:r>
      <w:r>
        <w:rPr>
          <w:rFonts w:ascii="Calibri" w:eastAsia="Calibri" w:hAnsi="Calibri" w:cs="Calibri"/>
          <w:sz w:val="20"/>
          <w:szCs w:val="20"/>
          <w:highlight w:val="white"/>
        </w:rPr>
        <w:t>and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selection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language translation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Domestic HRM does recruitment </w:t>
      </w:r>
      <w:r>
        <w:rPr>
          <w:rFonts w:ascii="Calibri" w:eastAsia="Calibri" w:hAnsi="Calibri" w:cs="Calibri"/>
          <w:sz w:val="20"/>
          <w:szCs w:val="20"/>
          <w:highlight w:val="white"/>
        </w:rPr>
        <w:t>and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 selection as well.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5.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“MNEs become more alike as they discover universal HRM best practices” is an example of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 the convergence hypothesis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b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) </w:t>
      </w:r>
      <w:r>
        <w:rPr>
          <w:rFonts w:ascii="Calibri" w:eastAsia="Calibri" w:hAnsi="Calibri" w:cs="Calibri"/>
          <w:sz w:val="20"/>
          <w:szCs w:val="20"/>
          <w:highlight w:val="white"/>
        </w:rPr>
        <w:t>the divergence hypothesis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c</w:t>
      </w:r>
      <w:r>
        <w:rPr>
          <w:rFonts w:ascii="Calibri" w:eastAsia="Calibri" w:hAnsi="Calibri" w:cs="Calibri"/>
          <w:sz w:val="20"/>
          <w:szCs w:val="20"/>
          <w:highlight w:val="white"/>
        </w:rPr>
        <w:t>) a Laurent step to true IHRM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  <w:r>
        <w:rPr>
          <w:rFonts w:ascii="Calibri" w:eastAsia="Calibri" w:hAnsi="Calibri" w:cs="Calibri"/>
          <w:sz w:val="20"/>
          <w:szCs w:val="20"/>
          <w:highlight w:val="white"/>
        </w:rPr>
        <w:t>d</w:t>
      </w:r>
      <w:r>
        <w:rPr>
          <w:rFonts w:ascii="Calibri" w:eastAsia="Calibri" w:hAnsi="Calibri" w:cs="Calibri"/>
          <w:sz w:val="20"/>
          <w:szCs w:val="20"/>
          <w:highlight w:val="white"/>
        </w:rPr>
        <w:t>) None of these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</w:t>
      </w:r>
      <w:r>
        <w:rPr>
          <w:rFonts w:ascii="Calibri" w:eastAsia="Calibri" w:hAnsi="Calibri" w:cs="Calibri"/>
          <w:sz w:val="20"/>
          <w:szCs w:val="20"/>
          <w:highlight w:val="white"/>
        </w:rPr>
        <w:t>a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10.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1A6685" w:rsidRDefault="001A6685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br w:type="page"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lastRenderedPageBreak/>
        <w:t>An international student goes to work for a Brazilian MNE in Brazil where he has been studying. He is a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a) parent-country national (PCN)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b) host-country national (HCN</w:t>
      </w:r>
      <w:r>
        <w:rPr>
          <w:rFonts w:ascii="Calibri" w:eastAsia="Calibri" w:hAnsi="Calibri" w:cs="Calibri"/>
          <w:sz w:val="20"/>
          <w:szCs w:val="20"/>
          <w:highlight w:val="white"/>
        </w:rPr>
        <w:t>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c) third-country national (TCN)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d) not enough information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(c)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3.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If an international student returns to her country of origin and works for an MNE whose headquarters is in the country where she studied, then she is a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a) PCN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b)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c) TCN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d) not e</w:t>
      </w:r>
      <w:r>
        <w:rPr>
          <w:rFonts w:ascii="Calibri" w:eastAsia="Calibri" w:hAnsi="Calibri" w:cs="Calibri"/>
          <w:sz w:val="20"/>
          <w:szCs w:val="20"/>
          <w:highlight w:val="white"/>
        </w:rPr>
        <w:t>nough information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(b)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She is a host-country national (HCN),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by definition of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HCN.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3.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If a person works on a ship for a cruise line headquartered in the country where he was born and resides, then he is a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a) PCN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b)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c) TCN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d) not enough informati</w:t>
      </w:r>
      <w:r>
        <w:rPr>
          <w:rFonts w:ascii="Calibri" w:eastAsia="Calibri" w:hAnsi="Calibri" w:cs="Calibri"/>
          <w:sz w:val="20"/>
          <w:szCs w:val="20"/>
          <w:highlight w:val="white"/>
        </w:rPr>
        <w:t>on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(a)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3.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An MNE is this kind of industry when competition in one country is essentially independent of competition in other countries.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a) international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b)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multidomestic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c) global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d) networked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(b)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This MNE is a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multidomestic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industry by definiti</w:t>
      </w:r>
      <w:r>
        <w:rPr>
          <w:rFonts w:ascii="Calibri" w:eastAsia="Calibri" w:hAnsi="Calibri" w:cs="Calibri"/>
          <w:sz w:val="20"/>
          <w:szCs w:val="20"/>
          <w:highlight w:val="white"/>
        </w:rPr>
        <w:t>on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11.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The convergence hypothesis is an example of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a) a culture-specific approach to management principles on management research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b) a culture-common approach to management principles in management research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c) the study of macrolevel variables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d) </w:t>
      </w:r>
      <w:r>
        <w:rPr>
          <w:rFonts w:ascii="Calibri" w:eastAsia="Calibri" w:hAnsi="Calibri" w:cs="Calibri"/>
          <w:sz w:val="20"/>
          <w:szCs w:val="20"/>
          <w:highlight w:val="white"/>
        </w:rPr>
        <w:t>the study of microlevel variables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(b)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The convergence hypothesis is a well-known example of an imposed “etic” approach that assumes that there are principles of management that transcend national boundaries.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10.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1A6685" w:rsidRDefault="001A6685">
      <w:pPr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br w:type="page"/>
      </w:r>
    </w:p>
    <w:p w:rsidR="000444E9" w:rsidRDefault="001A6685" w:rsidP="001A6685">
      <w:pPr>
        <w:numPr>
          <w:ilvl w:val="0"/>
          <w:numId w:val="1"/>
        </w:numPr>
        <w:spacing w:line="240" w:lineRule="auto"/>
        <w:ind w:left="360" w:hanging="360"/>
      </w:pPr>
      <w:r w:rsidRPr="001A6685">
        <w:rPr>
          <w:rFonts w:ascii="Calibri" w:eastAsia="Calibri" w:hAnsi="Calibri" w:cs="Calibri"/>
          <w:sz w:val="20"/>
          <w:szCs w:val="20"/>
          <w:highlight w:val="white"/>
        </w:rPr>
        <w:lastRenderedPageBreak/>
        <w:t>Which senior managers may assume a g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t>reater deal of transferability between domestic and international HRM practices?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a) Senior managers of MNEs with large domestic markets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b) Senior managers with little international experience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c) Senior managers with successful careers built on domestic exp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t>erience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d) All of these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(d)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 xml:space="preserve">Senior managers with little international experience, large domestic markets, or successful careers built on domestic experience are </w:t>
      </w:r>
      <w:r w:rsidRPr="001A6685">
        <w:rPr>
          <w:rFonts w:ascii="Calibri" w:eastAsia="Calibri" w:hAnsi="Calibri" w:cs="Calibri"/>
          <w:i/>
          <w:sz w:val="20"/>
          <w:szCs w:val="20"/>
          <w:highlight w:val="white"/>
        </w:rPr>
        <w:t>all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t xml:space="preserve"> more susceptible to assuming that there is greater transferability between domestic and int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t>ernational HRM practices, because domestic management is more of what they know.</w:t>
      </w:r>
      <w:r w:rsidRPr="001A6685">
        <w:rPr>
          <w:rFonts w:ascii="Calibri" w:eastAsia="Calibri" w:hAnsi="Calibri" w:cs="Calibri"/>
          <w:sz w:val="20"/>
          <w:szCs w:val="20"/>
          <w:highlight w:val="white"/>
        </w:rPr>
        <w:br/>
        <w:t>See p. 14.</w:t>
      </w:r>
      <w:bookmarkStart w:id="2" w:name="_GoBack"/>
      <w:bookmarkEnd w:id="2"/>
    </w:p>
    <w:p w:rsidR="000444E9" w:rsidRDefault="000444E9">
      <w:pPr>
        <w:spacing w:line="240" w:lineRule="auto"/>
        <w:rPr>
          <w:rFonts w:ascii="Calibri" w:eastAsia="Calibri" w:hAnsi="Calibri" w:cs="Calibri"/>
          <w:sz w:val="20"/>
          <w:szCs w:val="20"/>
          <w:highlight w:val="white"/>
        </w:rPr>
      </w:pP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The psychological contract between an MNE and which type of employee tends to be with his or her entire family: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a) PCN working abroad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b) HCN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c) TCN working abro</w:t>
      </w:r>
      <w:r>
        <w:rPr>
          <w:rFonts w:ascii="Calibri" w:eastAsia="Calibri" w:hAnsi="Calibri" w:cs="Calibri"/>
          <w:sz w:val="20"/>
          <w:szCs w:val="20"/>
          <w:highlight w:val="white"/>
        </w:rPr>
        <w:t>ad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d) Both (1) and (3)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(d)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 xml:space="preserve">Both types of expatriates (parent country nationals and third country nationals working abroad) tend to take their immediate families with them to live and work abroad, so the </w:t>
      </w:r>
      <w:proofErr w:type="spellStart"/>
      <w:r>
        <w:rPr>
          <w:rFonts w:ascii="Calibri" w:eastAsia="Calibri" w:hAnsi="Calibri" w:cs="Calibri"/>
          <w:sz w:val="20"/>
          <w:szCs w:val="20"/>
          <w:highlight w:val="white"/>
        </w:rPr>
        <w:t>pyschological</w:t>
      </w:r>
      <w:proofErr w:type="spellEnd"/>
      <w:r>
        <w:rPr>
          <w:rFonts w:ascii="Calibri" w:eastAsia="Calibri" w:hAnsi="Calibri" w:cs="Calibri"/>
          <w:sz w:val="20"/>
          <w:szCs w:val="20"/>
          <w:highlight w:val="white"/>
        </w:rPr>
        <w:t xml:space="preserve"> contract with their MNE tends to be wit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h their entire immediate families. 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  <w:t>See p. 7.</w:t>
      </w:r>
      <w:r>
        <w:rPr>
          <w:rFonts w:ascii="Calibri" w:eastAsia="Calibri" w:hAnsi="Calibri" w:cs="Calibri"/>
          <w:sz w:val="20"/>
          <w:szCs w:val="20"/>
          <w:highlight w:val="white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Laurent’s steps for a truly international conception of HRM involve each of the following EXCEPT:</w:t>
      </w:r>
      <w:r>
        <w:rPr>
          <w:rFonts w:ascii="Calibri" w:eastAsia="Calibri" w:hAnsi="Calibri" w:cs="Calibri"/>
          <w:sz w:val="20"/>
          <w:szCs w:val="20"/>
        </w:rPr>
        <w:br/>
        <w:t>a) An MNE’s explicit recognition that its HRM reflects some assumptions and values of its home culture.</w:t>
      </w:r>
      <w:r>
        <w:rPr>
          <w:rFonts w:ascii="Calibri" w:eastAsia="Calibri" w:hAnsi="Calibri" w:cs="Calibri"/>
          <w:sz w:val="20"/>
          <w:szCs w:val="20"/>
        </w:rPr>
        <w:br/>
        <w:t>b) An M</w:t>
      </w:r>
      <w:r>
        <w:rPr>
          <w:rFonts w:ascii="Calibri" w:eastAsia="Calibri" w:hAnsi="Calibri" w:cs="Calibri"/>
          <w:sz w:val="20"/>
          <w:szCs w:val="20"/>
        </w:rPr>
        <w:t>NE’s explicit recognition that its ways are neither universally better or worse than others.</w:t>
      </w:r>
      <w:r>
        <w:rPr>
          <w:rFonts w:ascii="Calibri" w:eastAsia="Calibri" w:hAnsi="Calibri" w:cs="Calibri"/>
          <w:sz w:val="20"/>
          <w:szCs w:val="20"/>
        </w:rPr>
        <w:br/>
        <w:t>c) A genuine believe that more effective ways of managing people can result from cross-cultural learning.</w:t>
      </w:r>
      <w:r>
        <w:rPr>
          <w:rFonts w:ascii="Calibri" w:eastAsia="Calibri" w:hAnsi="Calibri" w:cs="Calibri"/>
          <w:sz w:val="20"/>
          <w:szCs w:val="20"/>
        </w:rPr>
        <w:br/>
        <w:t>d) An MNE should focus more on behaviors over states of m</w:t>
      </w:r>
      <w:r>
        <w:rPr>
          <w:rFonts w:ascii="Calibri" w:eastAsia="Calibri" w:hAnsi="Calibri" w:cs="Calibri"/>
          <w:sz w:val="20"/>
          <w:szCs w:val="20"/>
        </w:rPr>
        <w:t>ind and mindsets.</w:t>
      </w:r>
      <w:r>
        <w:rPr>
          <w:rFonts w:ascii="Calibri" w:eastAsia="Calibri" w:hAnsi="Calibri" w:cs="Calibri"/>
          <w:sz w:val="20"/>
          <w:szCs w:val="20"/>
        </w:rPr>
        <w:br/>
        <w:t>(d)</w:t>
      </w:r>
      <w:r>
        <w:rPr>
          <w:rFonts w:ascii="Calibri" w:eastAsia="Calibri" w:hAnsi="Calibri" w:cs="Calibri"/>
          <w:sz w:val="20"/>
          <w:szCs w:val="20"/>
        </w:rPr>
        <w:br/>
        <w:t xml:space="preserve">The first three choices are three of Laurent’s five steps for a truly international conception of HRM. All five steps </w:t>
      </w:r>
      <w:proofErr w:type="gramStart"/>
      <w:r>
        <w:rPr>
          <w:rFonts w:ascii="Calibri" w:eastAsia="Calibri" w:hAnsi="Calibri" w:cs="Calibri"/>
          <w:sz w:val="20"/>
          <w:szCs w:val="20"/>
        </w:rPr>
        <w:t>actually have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more to do with states of mind and mindsets over particular behaviors, </w:t>
      </w:r>
      <w:proofErr w:type="spellStart"/>
      <w:r>
        <w:rPr>
          <w:rFonts w:ascii="Calibri" w:eastAsia="Calibri" w:hAnsi="Calibri" w:cs="Calibri"/>
          <w:sz w:val="20"/>
          <w:szCs w:val="20"/>
        </w:rPr>
        <w:t>excactly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the </w:t>
      </w:r>
      <w:r>
        <w:rPr>
          <w:rFonts w:ascii="Calibri" w:eastAsia="Calibri" w:hAnsi="Calibri" w:cs="Calibri"/>
          <w:i/>
          <w:sz w:val="20"/>
          <w:szCs w:val="20"/>
        </w:rPr>
        <w:t>opposite</w:t>
      </w:r>
      <w:r>
        <w:rPr>
          <w:rFonts w:ascii="Calibri" w:eastAsia="Calibri" w:hAnsi="Calibri" w:cs="Calibri"/>
          <w:sz w:val="20"/>
          <w:szCs w:val="20"/>
        </w:rPr>
        <w:t xml:space="preserve"> of choice (d).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Macroenvironmental factors that may influence MNEs include each of the following EXCEPT:</w:t>
      </w:r>
      <w:r>
        <w:rPr>
          <w:rFonts w:ascii="Calibri" w:eastAsia="Calibri" w:hAnsi="Calibri" w:cs="Calibri"/>
          <w:sz w:val="20"/>
          <w:szCs w:val="20"/>
        </w:rPr>
        <w:br/>
        <w:t>a) political factors</w:t>
      </w:r>
      <w:r>
        <w:rPr>
          <w:rFonts w:ascii="Calibri" w:eastAsia="Calibri" w:hAnsi="Calibri" w:cs="Calibri"/>
          <w:sz w:val="20"/>
          <w:szCs w:val="20"/>
        </w:rPr>
        <w:br/>
        <w:t>b) enterprise factors</w:t>
      </w:r>
      <w:r>
        <w:rPr>
          <w:rFonts w:ascii="Calibri" w:eastAsia="Calibri" w:hAnsi="Calibri" w:cs="Calibri"/>
          <w:sz w:val="20"/>
          <w:szCs w:val="20"/>
        </w:rPr>
        <w:br/>
        <w:t>c) sociological factors</w:t>
      </w:r>
      <w:r>
        <w:rPr>
          <w:rFonts w:ascii="Calibri" w:eastAsia="Calibri" w:hAnsi="Calibri" w:cs="Calibri"/>
          <w:sz w:val="20"/>
          <w:szCs w:val="20"/>
        </w:rPr>
        <w:br/>
        <w:t>d) technological factors</w:t>
      </w:r>
      <w:r>
        <w:rPr>
          <w:rFonts w:ascii="Calibri" w:eastAsia="Calibri" w:hAnsi="Calibri" w:cs="Calibri"/>
          <w:sz w:val="20"/>
          <w:szCs w:val="20"/>
        </w:rPr>
        <w:br/>
        <w:t>(b)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The macroenvironmental factors can be remembered with the </w:t>
      </w:r>
      <w:proofErr w:type="spellStart"/>
      <w:r>
        <w:rPr>
          <w:rFonts w:ascii="Calibri" w:eastAsia="Calibri" w:hAnsi="Calibri" w:cs="Calibri"/>
          <w:sz w:val="20"/>
          <w:szCs w:val="20"/>
        </w:rPr>
        <w:t>acronomyms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PEST, or PESTLE which include economic, legal, and environment </w:t>
      </w:r>
      <w:proofErr w:type="spellStart"/>
      <w:r>
        <w:rPr>
          <w:rFonts w:ascii="Calibri" w:eastAsia="Calibri" w:hAnsi="Calibri" w:cs="Calibri"/>
          <w:sz w:val="20"/>
          <w:szCs w:val="20"/>
        </w:rPr>
        <w:t>fators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as well, but not enterprise.</w:t>
      </w:r>
      <w:r>
        <w:rPr>
          <w:rFonts w:ascii="Calibri" w:eastAsia="Calibri" w:hAnsi="Calibri" w:cs="Calibri"/>
          <w:sz w:val="20"/>
          <w:szCs w:val="20"/>
        </w:rPr>
        <w:br/>
        <w:t>See p. 14.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0444E9" w:rsidRDefault="001A6685">
      <w:pPr>
        <w:numPr>
          <w:ilvl w:val="0"/>
          <w:numId w:val="1"/>
        </w:numPr>
        <w:spacing w:line="240" w:lineRule="auto"/>
        <w:ind w:left="36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key contrast between international and domestic human resource management </w:t>
      </w:r>
      <w:r>
        <w:rPr>
          <w:rFonts w:ascii="Calibri" w:eastAsia="Calibri" w:hAnsi="Calibri" w:cs="Calibri"/>
          <w:sz w:val="20"/>
          <w:szCs w:val="20"/>
        </w:rPr>
        <w:t>is:</w:t>
      </w:r>
      <w:r>
        <w:rPr>
          <w:rFonts w:ascii="Calibri" w:eastAsia="Calibri" w:hAnsi="Calibri" w:cs="Calibri"/>
          <w:sz w:val="20"/>
          <w:szCs w:val="20"/>
        </w:rPr>
        <w:br/>
        <w:t>a) complexity in operating in different countries</w:t>
      </w:r>
      <w:r>
        <w:rPr>
          <w:rFonts w:ascii="Calibri" w:eastAsia="Calibri" w:hAnsi="Calibri" w:cs="Calibri"/>
          <w:sz w:val="20"/>
          <w:szCs w:val="20"/>
        </w:rPr>
        <w:br/>
        <w:t>b) complexity in employing different national categories of employees</w:t>
      </w:r>
      <w:r>
        <w:rPr>
          <w:rFonts w:ascii="Calibri" w:eastAsia="Calibri" w:hAnsi="Calibri" w:cs="Calibri"/>
          <w:sz w:val="20"/>
          <w:szCs w:val="20"/>
        </w:rPr>
        <w:br/>
        <w:t>c) both (1) and (2)</w:t>
      </w:r>
      <w:r>
        <w:rPr>
          <w:rFonts w:ascii="Calibri" w:eastAsia="Calibri" w:hAnsi="Calibri" w:cs="Calibri"/>
          <w:sz w:val="20"/>
          <w:szCs w:val="20"/>
        </w:rPr>
        <w:br/>
        <w:t xml:space="preserve">d) the major </w:t>
      </w:r>
      <w:proofErr w:type="spellStart"/>
      <w:r>
        <w:rPr>
          <w:rFonts w:ascii="Calibri" w:eastAsia="Calibri" w:hAnsi="Calibri" w:cs="Calibri"/>
          <w:sz w:val="20"/>
          <w:szCs w:val="20"/>
        </w:rPr>
        <w:t>differerences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between the HR activities performed.</w:t>
      </w:r>
      <w:r>
        <w:rPr>
          <w:rFonts w:ascii="Calibri" w:eastAsia="Calibri" w:hAnsi="Calibri" w:cs="Calibri"/>
          <w:sz w:val="20"/>
          <w:szCs w:val="20"/>
        </w:rPr>
        <w:br/>
        <w:t>(c)</w:t>
      </w:r>
      <w:r>
        <w:rPr>
          <w:rFonts w:ascii="Calibri" w:eastAsia="Calibri" w:hAnsi="Calibri" w:cs="Calibri"/>
          <w:sz w:val="20"/>
          <w:szCs w:val="20"/>
        </w:rPr>
        <w:br/>
        <w:t>See p. 17</w:t>
      </w:r>
      <w:r>
        <w:rPr>
          <w:rFonts w:ascii="Calibri" w:eastAsia="Calibri" w:hAnsi="Calibri" w:cs="Calibri"/>
          <w:sz w:val="20"/>
          <w:szCs w:val="20"/>
        </w:rPr>
        <w:br/>
      </w:r>
    </w:p>
    <w:sectPr w:rsidR="000444E9">
      <w:headerReference w:type="default" r:id="rId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6685">
      <w:pPr>
        <w:spacing w:line="240" w:lineRule="auto"/>
      </w:pPr>
      <w:r>
        <w:separator/>
      </w:r>
    </w:p>
  </w:endnote>
  <w:endnote w:type="continuationSeparator" w:id="0">
    <w:p w:rsidR="00000000" w:rsidRDefault="001A6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6685">
      <w:pPr>
        <w:spacing w:line="240" w:lineRule="auto"/>
      </w:pPr>
      <w:r>
        <w:separator/>
      </w:r>
    </w:p>
  </w:footnote>
  <w:footnote w:type="continuationSeparator" w:id="0">
    <w:p w:rsidR="00000000" w:rsidRDefault="001A6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85" w:rsidRDefault="001A6685">
    <w:pPr>
      <w:tabs>
        <w:tab w:val="right" w:pos="9000"/>
      </w:tabs>
      <w:rPr>
        <w:rFonts w:ascii="Calibri" w:eastAsia="Calibri" w:hAnsi="Calibri" w:cs="Calibri"/>
        <w:i/>
        <w:sz w:val="20"/>
        <w:szCs w:val="20"/>
      </w:rPr>
    </w:pPr>
  </w:p>
  <w:p w:rsidR="000444E9" w:rsidRDefault="001A6685">
    <w:pPr>
      <w:tabs>
        <w:tab w:val="right" w:pos="9000"/>
      </w:tabs>
    </w:pPr>
    <w:r>
      <w:rPr>
        <w:rFonts w:ascii="Calibri" w:eastAsia="Calibri" w:hAnsi="Calibri" w:cs="Calibri"/>
        <w:i/>
        <w:sz w:val="20"/>
        <w:szCs w:val="20"/>
      </w:rPr>
      <w:t>Chapter 1 Beat the Clock Multiple Choice</w:t>
    </w:r>
    <w:r>
      <w:rPr>
        <w:rFonts w:ascii="Calibri" w:eastAsia="Calibri" w:hAnsi="Calibri" w:cs="Calibri"/>
        <w:i/>
        <w:sz w:val="20"/>
        <w:szCs w:val="20"/>
      </w:rP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ascii="Calibri" w:eastAsia="Calibri" w:hAnsi="Calibri" w:cs="Calibri"/>
        <w:i/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EC"/>
    <w:multiLevelType w:val="multilevel"/>
    <w:tmpl w:val="11F2F0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44E9"/>
    <w:rsid w:val="000444E9"/>
    <w:rsid w:val="001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6F96"/>
  <w15:docId w15:val="{12586E57-9354-4A7C-83BB-90D58D2F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A66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85"/>
  </w:style>
  <w:style w:type="paragraph" w:styleId="Footer">
    <w:name w:val="footer"/>
    <w:basedOn w:val="Normal"/>
    <w:link w:val="FooterChar"/>
    <w:uiPriority w:val="99"/>
    <w:unhideWhenUsed/>
    <w:rsid w:val="001A66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rly</cp:lastModifiedBy>
  <cp:revision>2</cp:revision>
  <dcterms:created xsi:type="dcterms:W3CDTF">2017-04-24T06:08:00Z</dcterms:created>
  <dcterms:modified xsi:type="dcterms:W3CDTF">2017-04-24T06:10:00Z</dcterms:modified>
</cp:coreProperties>
</file>