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972596" w14:textId="77777777" w:rsidR="004A6980" w:rsidRDefault="00926B65">
      <w:pPr>
        <w:rPr>
          <w:rFonts w:ascii="Times" w:eastAsia="Times" w:hAnsi="Times" w:cs="Times"/>
          <w:b/>
          <w:sz w:val="72"/>
          <w:szCs w:val="72"/>
        </w:rPr>
      </w:pPr>
      <w:r>
        <w:rPr>
          <w:noProof/>
        </w:rPr>
        <mc:AlternateContent>
          <mc:Choice Requires="wps">
            <w:drawing>
              <wp:anchor distT="0" distB="0" distL="114300" distR="114300" simplePos="0" relativeHeight="251658240" behindDoc="0" locked="0" layoutInCell="1" hidden="0" allowOverlap="1" wp14:anchorId="5EB9A402" wp14:editId="12D5C954">
                <wp:simplePos x="0" y="0"/>
                <wp:positionH relativeFrom="column">
                  <wp:posOffset>50801</wp:posOffset>
                </wp:positionH>
                <wp:positionV relativeFrom="paragraph">
                  <wp:posOffset>-228599</wp:posOffset>
                </wp:positionV>
                <wp:extent cx="5943600" cy="2057400"/>
                <wp:effectExtent l="0" t="0" r="0" b="0"/>
                <wp:wrapNone/>
                <wp:docPr id="1" name="Rectangle 1"/>
                <wp:cNvGraphicFramePr/>
                <a:graphic xmlns:a="http://schemas.openxmlformats.org/drawingml/2006/main">
                  <a:graphicData uri="http://schemas.microsoft.com/office/word/2010/wordprocessingShape">
                    <wps:wsp>
                      <wps:cNvSpPr/>
                      <wps:spPr>
                        <a:xfrm>
                          <a:off x="2374200" y="2751300"/>
                          <a:ext cx="5943600" cy="2057400"/>
                        </a:xfrm>
                        <a:prstGeom prst="rect">
                          <a:avLst/>
                        </a:prstGeom>
                        <a:solidFill>
                          <a:srgbClr val="000000"/>
                        </a:solidFill>
                        <a:ln w="9525" cap="flat" cmpd="sng">
                          <a:solidFill>
                            <a:srgbClr val="000000"/>
                          </a:solidFill>
                          <a:prstDash val="solid"/>
                          <a:miter lim="8000"/>
                          <a:headEnd type="none" w="sm" len="sm"/>
                          <a:tailEnd type="none" w="sm" len="sm"/>
                        </a:ln>
                      </wps:spPr>
                      <wps:txbx>
                        <w:txbxContent>
                          <w:p w14:paraId="4957E060" w14:textId="77777777" w:rsidR="004A6980" w:rsidRDefault="004A6980">
                            <w:pPr>
                              <w:textDirection w:val="btLr"/>
                            </w:pPr>
                          </w:p>
                          <w:p w14:paraId="4B47B1C5" w14:textId="5B5BD7DD" w:rsidR="004A6980" w:rsidRDefault="00926B65">
                            <w:pPr>
                              <w:textDirection w:val="btLr"/>
                            </w:pPr>
                            <w:r>
                              <w:rPr>
                                <w:rFonts w:ascii="Helvetica Neue" w:eastAsia="Helvetica Neue" w:hAnsi="Helvetica Neue" w:cs="Helvetica Neue"/>
                                <w:color w:val="FFFFFF"/>
                                <w:sz w:val="72"/>
                              </w:rPr>
                              <w:t>Instructor’s Resource Manual</w:t>
                            </w:r>
                          </w:p>
                          <w:p w14:paraId="3085D1DB" w14:textId="77777777" w:rsidR="00AE0FA7" w:rsidRDefault="00AE0FA7">
                            <w:pPr>
                              <w:textDirection w:val="btLr"/>
                            </w:pPr>
                          </w:p>
                          <w:p w14:paraId="5A94EED5" w14:textId="20C4949B" w:rsidR="004A6980" w:rsidRPr="00AE0FA7" w:rsidRDefault="00AE0FA7">
                            <w:pPr>
                              <w:textDirection w:val="btLr"/>
                              <w:rPr>
                                <w:rFonts w:ascii="Helvetica Neue" w:hAnsi="Helvetica Neue"/>
                                <w:sz w:val="40"/>
                                <w:szCs w:val="40"/>
                              </w:rPr>
                            </w:pPr>
                            <w:r w:rsidRPr="00AE0FA7">
                              <w:rPr>
                                <w:rFonts w:ascii="Helvetica Neue" w:hAnsi="Helvetica Neue"/>
                                <w:sz w:val="40"/>
                                <w:szCs w:val="40"/>
                              </w:rPr>
                              <w:t>Donna McGovern</w:t>
                            </w:r>
                          </w:p>
                        </w:txbxContent>
                      </wps:txbx>
                      <wps:bodyPr spcFirstLastPara="1" wrap="square" lIns="91425" tIns="45700" rIns="91425" bIns="45700" anchor="t" anchorCtr="0">
                        <a:noAutofit/>
                      </wps:bodyPr>
                    </wps:wsp>
                  </a:graphicData>
                </a:graphic>
              </wp:anchor>
            </w:drawing>
          </mc:Choice>
          <mc:Fallback>
            <w:pict>
              <v:rect w14:anchorId="5EB9A402" id="Rectangle 1" o:spid="_x0000_s1026" style="position:absolute;margin-left:4pt;margin-top:-18pt;width:468pt;height:1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" fillcolor="black">
                <v:stroke startarrowwidth="narrow" startarrowlength="short" endarrowwidth="narrow" endarrowlength="short" miterlimit="5243f"/>
                <v:textbox inset="2.53958mm,1.2694mm,2.53958mm,1.2694mm">
                  <w:txbxContent>
                    <w:p w14:paraId="4957E060" w14:textId="77777777" w:rsidR="004A6980" w:rsidRDefault="004A6980">
                      <w:pPr>
                        <w:textDirection w:val="btLr"/>
                      </w:pPr>
                    </w:p>
                    <w:p w14:paraId="4B47B1C5" w14:textId="5B5BD7DD" w:rsidR="004A6980" w:rsidRDefault="00926B65">
                      <w:pPr>
                        <w:textDirection w:val="btLr"/>
                      </w:pPr>
                      <w:r>
                        <w:rPr>
                          <w:rFonts w:ascii="Helvetica Neue" w:eastAsia="Helvetica Neue" w:hAnsi="Helvetica Neue" w:cs="Helvetica Neue"/>
                          <w:color w:val="FFFFFF"/>
                          <w:sz w:val="72"/>
                        </w:rPr>
                        <w:t>Instructor’s Resource Manual</w:t>
                      </w:r>
                    </w:p>
                    <w:p w14:paraId="3085D1DB" w14:textId="77777777" w:rsidR="00AE0FA7" w:rsidRDefault="00AE0FA7">
                      <w:pPr>
                        <w:textDirection w:val="btLr"/>
                      </w:pPr>
                    </w:p>
                    <w:p w14:paraId="5A94EED5" w14:textId="20C4949B" w:rsidR="004A6980" w:rsidRPr="00AE0FA7" w:rsidRDefault="00AE0FA7">
                      <w:pPr>
                        <w:textDirection w:val="btLr"/>
                        <w:rPr>
                          <w:rFonts w:ascii="Helvetica Neue" w:hAnsi="Helvetica Neue"/>
                          <w:sz w:val="40"/>
                          <w:szCs w:val="40"/>
                        </w:rPr>
                      </w:pPr>
                      <w:r w:rsidRPr="00AE0FA7">
                        <w:rPr>
                          <w:rFonts w:ascii="Helvetica Neue" w:hAnsi="Helvetica Neue"/>
                          <w:sz w:val="40"/>
                          <w:szCs w:val="40"/>
                        </w:rPr>
                        <w:t>Donna McGovern</w:t>
                      </w:r>
                    </w:p>
                  </w:txbxContent>
                </v:textbox>
              </v:rect>
            </w:pict>
          </mc:Fallback>
        </mc:AlternateContent>
      </w:r>
    </w:p>
    <w:p w14:paraId="5E89CBC6" w14:textId="77777777" w:rsidR="004A6980" w:rsidRDefault="004A6980">
      <w:pPr>
        <w:rPr>
          <w:rFonts w:ascii="Times" w:eastAsia="Times" w:hAnsi="Times" w:cs="Times"/>
          <w:b/>
          <w:sz w:val="72"/>
          <w:szCs w:val="72"/>
        </w:rPr>
      </w:pPr>
    </w:p>
    <w:p w14:paraId="675B546D" w14:textId="77777777" w:rsidR="004A6980" w:rsidRDefault="004A6980">
      <w:pPr>
        <w:rPr>
          <w:rFonts w:ascii="Times" w:eastAsia="Times" w:hAnsi="Times" w:cs="Times"/>
          <w:b/>
          <w:sz w:val="72"/>
          <w:szCs w:val="72"/>
        </w:rPr>
      </w:pPr>
    </w:p>
    <w:p w14:paraId="35C2D036" w14:textId="77777777" w:rsidR="004A6980" w:rsidRDefault="004A6980"/>
    <w:p w14:paraId="0DBA6FB4" w14:textId="77777777" w:rsidR="004A6980" w:rsidRDefault="004A6980">
      <w:pPr>
        <w:rPr>
          <w:rFonts w:ascii="Times" w:eastAsia="Times" w:hAnsi="Times" w:cs="Times"/>
          <w:b/>
          <w:sz w:val="76"/>
          <w:szCs w:val="76"/>
        </w:rPr>
      </w:pPr>
    </w:p>
    <w:p w14:paraId="3111943E" w14:textId="19DC8DDF" w:rsidR="00926B65" w:rsidRDefault="00AE0FA7">
      <w:pPr>
        <w:jc w:val="right"/>
        <w:rPr>
          <w:rFonts w:ascii="Times" w:eastAsia="Times" w:hAnsi="Times" w:cs="Times"/>
          <w:b/>
          <w:sz w:val="76"/>
          <w:szCs w:val="76"/>
        </w:rPr>
      </w:pPr>
      <w:r>
        <w:rPr>
          <w:rFonts w:ascii="Times" w:eastAsia="Times" w:hAnsi="Times" w:cs="Times"/>
          <w:b/>
          <w:sz w:val="76"/>
          <w:szCs w:val="76"/>
        </w:rPr>
        <w:t>Horngren’s Cost Accounting</w:t>
      </w:r>
    </w:p>
    <w:p w14:paraId="16F28AA7" w14:textId="2941C074" w:rsidR="004A6980" w:rsidRDefault="00926B65">
      <w:pPr>
        <w:jc w:val="right"/>
        <w:rPr>
          <w:rFonts w:ascii="Times" w:eastAsia="Times" w:hAnsi="Times" w:cs="Times"/>
          <w:i/>
          <w:sz w:val="44"/>
          <w:szCs w:val="44"/>
        </w:rPr>
      </w:pPr>
      <w:r>
        <w:rPr>
          <w:rFonts w:ascii="Times" w:eastAsia="Times" w:hAnsi="Times" w:cs="Times"/>
          <w:i/>
          <w:sz w:val="44"/>
          <w:szCs w:val="44"/>
        </w:rPr>
        <w:t>1</w:t>
      </w:r>
      <w:r w:rsidR="00AE0FA7">
        <w:rPr>
          <w:rFonts w:ascii="Times" w:eastAsia="Times" w:hAnsi="Times" w:cs="Times"/>
          <w:i/>
          <w:sz w:val="44"/>
          <w:szCs w:val="44"/>
        </w:rPr>
        <w:t>7</w:t>
      </w:r>
      <w:r>
        <w:rPr>
          <w:rFonts w:ascii="Times" w:eastAsia="Times" w:hAnsi="Times" w:cs="Times"/>
          <w:i/>
          <w:sz w:val="44"/>
          <w:szCs w:val="44"/>
        </w:rPr>
        <w:t>th Edition</w:t>
      </w:r>
    </w:p>
    <w:p w14:paraId="61BEA5F2" w14:textId="77777777" w:rsidR="00926B65" w:rsidRDefault="00926B65" w:rsidP="00926B65">
      <w:pPr>
        <w:widowControl/>
        <w:autoSpaceDE w:val="0"/>
        <w:autoSpaceDN w:val="0"/>
        <w:adjustRightInd w:val="0"/>
        <w:jc w:val="right"/>
        <w:rPr>
          <w:rFonts w:ascii="AvenirLTPro-Heavy" w:hAnsi="AvenirLTPro-Heavy" w:cs="AvenirLTPro-Heavy"/>
          <w:sz w:val="40"/>
          <w:szCs w:val="40"/>
        </w:rPr>
      </w:pPr>
    </w:p>
    <w:p w14:paraId="6159A211" w14:textId="427AD302" w:rsidR="00926B65" w:rsidRDefault="00926B65" w:rsidP="00926B65">
      <w:pPr>
        <w:widowControl/>
        <w:autoSpaceDE w:val="0"/>
        <w:autoSpaceDN w:val="0"/>
        <w:adjustRightInd w:val="0"/>
        <w:jc w:val="right"/>
        <w:rPr>
          <w:rFonts w:ascii="AvenirLTPro-Heavy" w:hAnsi="AvenirLTPro-Heavy" w:cs="AvenirLTPro-Heavy"/>
          <w:sz w:val="40"/>
          <w:szCs w:val="40"/>
        </w:rPr>
      </w:pPr>
    </w:p>
    <w:p w14:paraId="7CFDBCEE" w14:textId="77777777" w:rsidR="00AE0FA7" w:rsidRDefault="00AE0FA7" w:rsidP="00926B65">
      <w:pPr>
        <w:widowControl/>
        <w:autoSpaceDE w:val="0"/>
        <w:autoSpaceDN w:val="0"/>
        <w:adjustRightInd w:val="0"/>
        <w:jc w:val="right"/>
        <w:rPr>
          <w:rFonts w:ascii="AvenirLTPro-Heavy" w:hAnsi="AvenirLTPro-Heavy" w:cs="AvenirLTPro-Heavy"/>
          <w:sz w:val="40"/>
          <w:szCs w:val="40"/>
        </w:rPr>
      </w:pPr>
    </w:p>
    <w:p w14:paraId="34533926" w14:textId="77777777" w:rsidR="00926B65" w:rsidRDefault="00926B65" w:rsidP="00926B65">
      <w:pPr>
        <w:widowControl/>
        <w:autoSpaceDE w:val="0"/>
        <w:autoSpaceDN w:val="0"/>
        <w:adjustRightInd w:val="0"/>
        <w:jc w:val="right"/>
        <w:rPr>
          <w:rFonts w:ascii="AvenirLTPro-Heavy" w:hAnsi="AvenirLTPro-Heavy" w:cs="AvenirLTPro-Heavy"/>
          <w:sz w:val="40"/>
          <w:szCs w:val="40"/>
        </w:rPr>
      </w:pPr>
    </w:p>
    <w:p w14:paraId="7F3EFD25" w14:textId="7A4BBB55" w:rsidR="00926B65" w:rsidRDefault="00AE0FA7" w:rsidP="00926B65">
      <w:pPr>
        <w:widowControl/>
        <w:autoSpaceDE w:val="0"/>
        <w:autoSpaceDN w:val="0"/>
        <w:adjustRightInd w:val="0"/>
        <w:jc w:val="right"/>
        <w:rPr>
          <w:rFonts w:ascii="AvenirLTPro-Heavy" w:hAnsi="AvenirLTPro-Heavy" w:cs="AvenirLTPro-Heavy"/>
          <w:sz w:val="40"/>
          <w:szCs w:val="40"/>
        </w:rPr>
      </w:pPr>
      <w:r>
        <w:rPr>
          <w:rFonts w:ascii="AvenirLTPro-Heavy" w:hAnsi="AvenirLTPro-Heavy" w:cs="AvenirLTPro-Heavy"/>
          <w:sz w:val="40"/>
          <w:szCs w:val="40"/>
        </w:rPr>
        <w:t xml:space="preserve">Srikant M. </w:t>
      </w:r>
      <w:proofErr w:type="spellStart"/>
      <w:r>
        <w:rPr>
          <w:rFonts w:ascii="AvenirLTPro-Heavy" w:hAnsi="AvenirLTPro-Heavy" w:cs="AvenirLTPro-Heavy"/>
          <w:sz w:val="40"/>
          <w:szCs w:val="40"/>
        </w:rPr>
        <w:t>Datar</w:t>
      </w:r>
      <w:proofErr w:type="spellEnd"/>
    </w:p>
    <w:p w14:paraId="2E8280A2" w14:textId="22BB8561" w:rsidR="00926B65" w:rsidRDefault="00AE0FA7" w:rsidP="00926B65">
      <w:pPr>
        <w:widowControl/>
        <w:autoSpaceDE w:val="0"/>
        <w:autoSpaceDN w:val="0"/>
        <w:adjustRightInd w:val="0"/>
        <w:jc w:val="right"/>
        <w:rPr>
          <w:rFonts w:ascii="TimesLTPro-SemiboldItalic" w:hAnsi="TimesLTPro-SemiboldItalic" w:cs="TimesLTPro-SemiboldItalic"/>
          <w:i/>
          <w:iCs/>
          <w:sz w:val="26"/>
          <w:szCs w:val="26"/>
        </w:rPr>
      </w:pPr>
      <w:r>
        <w:rPr>
          <w:rFonts w:ascii="TimesLTPro-SemiboldItalic" w:hAnsi="TimesLTPro-SemiboldItalic" w:cs="TimesLTPro-SemiboldItalic"/>
          <w:i/>
          <w:iCs/>
          <w:sz w:val="26"/>
          <w:szCs w:val="26"/>
        </w:rPr>
        <w:t>Harvard</w:t>
      </w:r>
      <w:r w:rsidR="00926B65">
        <w:rPr>
          <w:rFonts w:ascii="TimesLTPro-SemiboldItalic" w:hAnsi="TimesLTPro-SemiboldItalic" w:cs="TimesLTPro-SemiboldItalic"/>
          <w:i/>
          <w:iCs/>
          <w:sz w:val="26"/>
          <w:szCs w:val="26"/>
        </w:rPr>
        <w:t xml:space="preserve"> University</w:t>
      </w:r>
    </w:p>
    <w:p w14:paraId="5F8D9AFF" w14:textId="55027944" w:rsidR="00926B65" w:rsidRDefault="00AE0FA7" w:rsidP="00926B65">
      <w:pPr>
        <w:widowControl/>
        <w:autoSpaceDE w:val="0"/>
        <w:autoSpaceDN w:val="0"/>
        <w:adjustRightInd w:val="0"/>
        <w:jc w:val="right"/>
        <w:rPr>
          <w:rFonts w:ascii="AvenirLTPro-Heavy" w:hAnsi="AvenirLTPro-Heavy" w:cs="AvenirLTPro-Heavy"/>
          <w:sz w:val="40"/>
          <w:szCs w:val="40"/>
        </w:rPr>
      </w:pPr>
      <w:r>
        <w:rPr>
          <w:rFonts w:ascii="AvenirLTPro-Heavy" w:hAnsi="AvenirLTPro-Heavy" w:cs="AvenirLTPro-Heavy"/>
          <w:sz w:val="40"/>
          <w:szCs w:val="40"/>
        </w:rPr>
        <w:t xml:space="preserve">Madhav V. </w:t>
      </w:r>
      <w:proofErr w:type="spellStart"/>
      <w:r>
        <w:rPr>
          <w:rFonts w:ascii="AvenirLTPro-Heavy" w:hAnsi="AvenirLTPro-Heavy" w:cs="AvenirLTPro-Heavy"/>
          <w:sz w:val="40"/>
          <w:szCs w:val="40"/>
        </w:rPr>
        <w:t>Rajan</w:t>
      </w:r>
      <w:proofErr w:type="spellEnd"/>
    </w:p>
    <w:p w14:paraId="568001CD" w14:textId="73774ABB" w:rsidR="00926B65" w:rsidRDefault="00AE0FA7" w:rsidP="00926B65">
      <w:pPr>
        <w:widowControl/>
        <w:autoSpaceDE w:val="0"/>
        <w:autoSpaceDN w:val="0"/>
        <w:adjustRightInd w:val="0"/>
        <w:jc w:val="right"/>
        <w:rPr>
          <w:rFonts w:ascii="TimesLTPro-SemiboldItalic" w:hAnsi="TimesLTPro-SemiboldItalic" w:cs="TimesLTPro-SemiboldItalic"/>
          <w:i/>
          <w:iCs/>
          <w:sz w:val="26"/>
          <w:szCs w:val="26"/>
        </w:rPr>
      </w:pPr>
      <w:r>
        <w:rPr>
          <w:rFonts w:ascii="TimesLTPro-SemiboldItalic" w:hAnsi="TimesLTPro-SemiboldItalic" w:cs="TimesLTPro-SemiboldItalic"/>
          <w:i/>
          <w:iCs/>
          <w:sz w:val="26"/>
          <w:szCs w:val="26"/>
        </w:rPr>
        <w:t>Stanford</w:t>
      </w:r>
      <w:r w:rsidR="00926B65">
        <w:rPr>
          <w:rFonts w:ascii="TimesLTPro-SemiboldItalic" w:hAnsi="TimesLTPro-SemiboldItalic" w:cs="TimesLTPro-SemiboldItalic"/>
          <w:i/>
          <w:iCs/>
          <w:sz w:val="26"/>
          <w:szCs w:val="26"/>
        </w:rPr>
        <w:t xml:space="preserve"> University</w:t>
      </w:r>
    </w:p>
    <w:p w14:paraId="6CFE2CFE" w14:textId="77777777" w:rsidR="00AE0FA7" w:rsidRDefault="00AE0FA7">
      <w:pPr>
        <w:spacing w:before="1560"/>
        <w:ind w:left="3600"/>
        <w:rPr>
          <w:rFonts w:ascii="Times" w:eastAsia="Times" w:hAnsi="Times" w:cs="Times"/>
          <w:sz w:val="20"/>
          <w:szCs w:val="20"/>
        </w:rPr>
      </w:pPr>
    </w:p>
    <w:p w14:paraId="35F1C9A5" w14:textId="2D45E20F" w:rsidR="004A6980" w:rsidRDefault="00926B65">
      <w:pPr>
        <w:spacing w:before="1560"/>
        <w:ind w:left="3600"/>
        <w:rPr>
          <w:rFonts w:ascii="Times" w:eastAsia="Times" w:hAnsi="Times" w:cs="Times"/>
          <w:sz w:val="20"/>
          <w:szCs w:val="20"/>
        </w:rPr>
      </w:pPr>
      <w:bookmarkStart w:id="0" w:name="_GoBack"/>
      <w:bookmarkEnd w:id="0"/>
      <w:r>
        <w:rPr>
          <w:noProof/>
        </w:rPr>
        <w:drawing>
          <wp:anchor distT="0" distB="0" distL="114300" distR="114300" simplePos="0" relativeHeight="251659264" behindDoc="0" locked="0" layoutInCell="1" hidden="0" allowOverlap="1" wp14:anchorId="2E9964DF" wp14:editId="4DBF922E">
            <wp:simplePos x="0" y="0"/>
            <wp:positionH relativeFrom="column">
              <wp:posOffset>51437</wp:posOffset>
            </wp:positionH>
            <wp:positionV relativeFrom="paragraph">
              <wp:posOffset>622300</wp:posOffset>
            </wp:positionV>
            <wp:extent cx="1543050" cy="695325"/>
            <wp:effectExtent l="0" t="0" r="0" b="0"/>
            <wp:wrapNone/>
            <wp:docPr id="2" name="image1.jpg" descr="C:\Users\uferncl\Desktop\PearsonLogo_Horizontal_Mono_Blk.jpg"/>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preferRelativeResize="0"/>
                  </pic:nvPicPr>
                  <pic:blipFill>
                    <a:blip r:embed="rId4"/>
                    <a:srcRect/>
                    <a:stretch>
                      <a:fillRect/>
                    </a:stretch>
                  </pic:blipFill>
                  <pic:spPr>
                    <a:xfrm>
                      <a:off x="0" y="0"/>
                      <a:ext cx="1543050" cy="695325"/>
                    </a:xfrm>
                    <a:prstGeom prst="rect">
                      <a:avLst/>
                    </a:prstGeom>
                    <a:ln/>
                  </pic:spPr>
                </pic:pic>
              </a:graphicData>
            </a:graphic>
          </wp:anchor>
        </w:drawing>
      </w:r>
    </w:p>
    <w:p w14:paraId="17D197CF" w14:textId="5C370435" w:rsidR="004A6980" w:rsidRDefault="004A6980">
      <w:pPr>
        <w:jc w:val="center"/>
      </w:pPr>
      <w:bookmarkStart w:id="1" w:name="_gjdgxs" w:colFirst="0" w:colLast="0"/>
      <w:bookmarkEnd w:id="1"/>
    </w:p>
    <w:p w14:paraId="45A93F9E" w14:textId="08FA6C7D" w:rsidR="00926B65" w:rsidRDefault="00926B65">
      <w:pPr>
        <w:jc w:val="center"/>
      </w:pPr>
    </w:p>
    <w:p w14:paraId="0A20B3F5" w14:textId="23A4687E" w:rsidR="00926B65" w:rsidRDefault="00926B65">
      <w:pPr>
        <w:jc w:val="center"/>
      </w:pPr>
    </w:p>
    <w:p w14:paraId="75495CDF" w14:textId="1A7CD292" w:rsidR="00926B65" w:rsidRDefault="00926B65">
      <w:pPr>
        <w:jc w:val="center"/>
      </w:pPr>
    </w:p>
    <w:p w14:paraId="41A6F2BF" w14:textId="3CBB5CB5" w:rsidR="00926B65" w:rsidRDefault="00926B65">
      <w:pPr>
        <w:jc w:val="center"/>
      </w:pPr>
    </w:p>
    <w:p w14:paraId="090C97F2" w14:textId="77777777" w:rsidR="00926B65" w:rsidRDefault="00926B65" w:rsidP="00926B65">
      <w:pPr>
        <w:pBdr>
          <w:top w:val="nil"/>
          <w:left w:val="nil"/>
          <w:bottom w:val="nil"/>
          <w:right w:val="nil"/>
          <w:between w:val="nil"/>
        </w:pBdr>
        <w:rPr>
          <w:rFonts w:ascii="Times" w:eastAsia="Times" w:hAnsi="Times" w:cs="Times"/>
          <w:b/>
          <w:sz w:val="22"/>
          <w:szCs w:val="22"/>
        </w:rPr>
      </w:pPr>
    </w:p>
    <w:p w14:paraId="432DD17E" w14:textId="77777777" w:rsidR="00926B65" w:rsidRDefault="00926B65" w:rsidP="00926B65">
      <w:pPr>
        <w:rPr>
          <w:rFonts w:ascii="Times" w:eastAsia="Times" w:hAnsi="Times" w:cs="Times"/>
          <w:b/>
          <w:sz w:val="22"/>
          <w:szCs w:val="22"/>
        </w:rPr>
      </w:pPr>
    </w:p>
    <w:p w14:paraId="4FCA998D" w14:textId="77777777" w:rsidR="00926B65" w:rsidRDefault="00926B65" w:rsidP="00926B65">
      <w:pPr>
        <w:rPr>
          <w:rFonts w:ascii="Arial" w:eastAsia="Arial" w:hAnsi="Arial" w:cs="Arial"/>
          <w:b/>
        </w:rPr>
      </w:pPr>
      <w:r>
        <w:rPr>
          <w:rFonts w:ascii="Arial" w:eastAsia="Arial" w:hAnsi="Arial" w:cs="Arial"/>
          <w:b/>
        </w:rPr>
        <w:t>This work is protected by United States copyright laws and is provided solely for the use of instructors in teaching their courses and assessing student learning.  Dissemination or sale of any part of this work (including on the World Wide Web) will destroy the integrity of the work and is not permitted.   The work and materials from it should never be made available to students except by instructors using the accompanying text in their classes.   All recipients of this work are expected to abide by these restrictions and to honor the intended pedagogical purposes and the needs of other instructors who rely on these materials.</w:t>
      </w:r>
    </w:p>
    <w:p w14:paraId="2A719AB4" w14:textId="77777777" w:rsidR="00926B65" w:rsidRDefault="00926B65" w:rsidP="00926B65">
      <w:pPr>
        <w:rPr>
          <w:rFonts w:ascii="Times" w:eastAsia="Times" w:hAnsi="Times" w:cs="Times"/>
        </w:rPr>
      </w:pPr>
    </w:p>
    <w:p w14:paraId="6348B51E" w14:textId="77777777" w:rsidR="00926B65" w:rsidRDefault="00926B65" w:rsidP="00926B65">
      <w:pPr>
        <w:rPr>
          <w:rFonts w:ascii="Times" w:eastAsia="Times" w:hAnsi="Times" w:cs="Times"/>
          <w:b/>
          <w:sz w:val="22"/>
          <w:szCs w:val="22"/>
        </w:rPr>
      </w:pPr>
    </w:p>
    <w:p w14:paraId="50568386" w14:textId="0EFBF780" w:rsidR="00926B65" w:rsidRDefault="00926B65" w:rsidP="00926B65">
      <w:pPr>
        <w:spacing w:line="280" w:lineRule="auto"/>
        <w:rPr>
          <w:rFonts w:ascii="Times" w:eastAsia="Times" w:hAnsi="Times" w:cs="Times"/>
          <w:b/>
          <w:sz w:val="22"/>
          <w:szCs w:val="22"/>
        </w:rPr>
      </w:pPr>
    </w:p>
    <w:p w14:paraId="7352A7FD" w14:textId="4503817B" w:rsidR="00926B65" w:rsidRDefault="00926B65" w:rsidP="00926B65">
      <w:pPr>
        <w:spacing w:line="280" w:lineRule="auto"/>
        <w:rPr>
          <w:rFonts w:ascii="Times" w:eastAsia="Times" w:hAnsi="Times" w:cs="Times"/>
          <w:b/>
          <w:sz w:val="22"/>
          <w:szCs w:val="22"/>
        </w:rPr>
      </w:pPr>
    </w:p>
    <w:p w14:paraId="328B2D2B" w14:textId="20508A2A" w:rsidR="00926B65" w:rsidRDefault="00926B65" w:rsidP="00926B65">
      <w:pPr>
        <w:spacing w:line="280" w:lineRule="auto"/>
        <w:rPr>
          <w:rFonts w:ascii="Times" w:eastAsia="Times" w:hAnsi="Times" w:cs="Times"/>
          <w:b/>
          <w:sz w:val="22"/>
          <w:szCs w:val="22"/>
        </w:rPr>
      </w:pPr>
    </w:p>
    <w:p w14:paraId="4CD121EF" w14:textId="77777777" w:rsidR="00926B65" w:rsidRDefault="00926B65" w:rsidP="00926B65">
      <w:pPr>
        <w:spacing w:line="280" w:lineRule="auto"/>
        <w:rPr>
          <w:rFonts w:ascii="Times" w:eastAsia="Times" w:hAnsi="Times" w:cs="Times"/>
          <w:b/>
          <w:sz w:val="22"/>
          <w:szCs w:val="22"/>
        </w:rPr>
      </w:pPr>
    </w:p>
    <w:p w14:paraId="22007A35" w14:textId="77777777" w:rsidR="00926B65" w:rsidRDefault="00926B65" w:rsidP="00926B65">
      <w:pPr>
        <w:rPr>
          <w:rFonts w:ascii="Times" w:eastAsia="Times" w:hAnsi="Times" w:cs="Times"/>
          <w:sz w:val="22"/>
          <w:szCs w:val="22"/>
        </w:rPr>
      </w:pPr>
    </w:p>
    <w:p w14:paraId="075D0485" w14:textId="77777777" w:rsidR="00926B65" w:rsidRDefault="00926B65" w:rsidP="00926B65">
      <w:pPr>
        <w:rPr>
          <w:rFonts w:ascii="Times" w:eastAsia="Times" w:hAnsi="Times" w:cs="Times"/>
          <w:b/>
          <w:sz w:val="20"/>
          <w:szCs w:val="20"/>
        </w:rPr>
      </w:pPr>
    </w:p>
    <w:p w14:paraId="16831DD0" w14:textId="24E61130" w:rsidR="00926B65" w:rsidRDefault="00926B65" w:rsidP="00926B65">
      <w:pPr>
        <w:rPr>
          <w:rFonts w:ascii="Times" w:eastAsia="Times" w:hAnsi="Times" w:cs="Times"/>
          <w:color w:val="000000"/>
          <w:sz w:val="22"/>
          <w:szCs w:val="22"/>
        </w:rPr>
      </w:pPr>
      <w:r>
        <w:rPr>
          <w:rFonts w:ascii="Times" w:eastAsia="Times" w:hAnsi="Times" w:cs="Times"/>
          <w:color w:val="000000"/>
          <w:sz w:val="22"/>
          <w:szCs w:val="22"/>
        </w:rPr>
        <w:t>Copyright © 2021</w:t>
      </w:r>
      <w:r>
        <w:rPr>
          <w:rFonts w:ascii="Times" w:eastAsia="Times" w:hAnsi="Times" w:cs="Times"/>
          <w:color w:val="3366FF"/>
          <w:sz w:val="22"/>
          <w:szCs w:val="22"/>
        </w:rPr>
        <w:t xml:space="preserve"> </w:t>
      </w:r>
      <w:r>
        <w:rPr>
          <w:rFonts w:ascii="Times" w:eastAsia="Times" w:hAnsi="Times" w:cs="Times"/>
          <w:color w:val="000000"/>
          <w:sz w:val="22"/>
          <w:szCs w:val="22"/>
        </w:rPr>
        <w:t xml:space="preserve">by Pearson Education, Inc. or its affiliates.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and Permissions department, please visit </w:t>
      </w:r>
      <w:hyperlink r:id="rId5">
        <w:r>
          <w:rPr>
            <w:rFonts w:ascii="Times" w:eastAsia="Times" w:hAnsi="Times" w:cs="Times"/>
            <w:color w:val="0563C1"/>
            <w:sz w:val="22"/>
            <w:szCs w:val="22"/>
            <w:u w:val="single"/>
          </w:rPr>
          <w:t>www.pearsoned.com/permissions/</w:t>
        </w:r>
      </w:hyperlink>
      <w:r>
        <w:rPr>
          <w:rFonts w:ascii="Times" w:eastAsia="Times" w:hAnsi="Times" w:cs="Times"/>
          <w:color w:val="000000"/>
          <w:sz w:val="22"/>
          <w:szCs w:val="22"/>
        </w:rPr>
        <w:t>.</w:t>
      </w:r>
    </w:p>
    <w:p w14:paraId="3F1B7095" w14:textId="77777777" w:rsidR="00926B65" w:rsidRDefault="00926B65" w:rsidP="00926B65">
      <w:pPr>
        <w:rPr>
          <w:rFonts w:ascii="Times" w:eastAsia="Times" w:hAnsi="Times" w:cs="Times"/>
          <w:color w:val="3366FF"/>
          <w:sz w:val="22"/>
          <w:szCs w:val="22"/>
        </w:rPr>
      </w:pPr>
    </w:p>
    <w:p w14:paraId="1ABACA90" w14:textId="27420B1E" w:rsidR="00926B65" w:rsidRDefault="00926B65" w:rsidP="00926B65">
      <w:pPr>
        <w:rPr>
          <w:rFonts w:ascii="Times" w:eastAsia="Times" w:hAnsi="Times" w:cs="Times"/>
          <w:sz w:val="22"/>
          <w:szCs w:val="22"/>
        </w:rPr>
      </w:pPr>
      <w:r>
        <w:rPr>
          <w:rFonts w:ascii="Times" w:eastAsia="Times" w:hAnsi="Times" w:cs="Times"/>
          <w:sz w:val="22"/>
          <w:szCs w:val="22"/>
        </w:rPr>
        <w:t>PEARSON, ALWAYS LEARNING, and REVEL are exclusive trademarks owned by Pearson Education, Inc. or its affiliates in the U.S. and/or other countries.</w:t>
      </w:r>
    </w:p>
    <w:p w14:paraId="0AF9C644" w14:textId="77777777" w:rsidR="00926B65" w:rsidRDefault="00926B65" w:rsidP="00926B65">
      <w:pPr>
        <w:rPr>
          <w:rFonts w:ascii="Times" w:eastAsia="Times" w:hAnsi="Times" w:cs="Times"/>
          <w:sz w:val="22"/>
          <w:szCs w:val="22"/>
        </w:rPr>
      </w:pPr>
    </w:p>
    <w:p w14:paraId="2B37CAEA" w14:textId="77777777" w:rsidR="00926B65" w:rsidRDefault="00926B65" w:rsidP="00926B65">
      <w:pPr>
        <w:rPr>
          <w:rFonts w:ascii="Times" w:eastAsia="Times" w:hAnsi="Times" w:cs="Times"/>
        </w:rPr>
      </w:pPr>
      <w:r>
        <w:rPr>
          <w:rFonts w:ascii="Times" w:eastAsia="Times" w:hAnsi="Times" w:cs="Times"/>
          <w:sz w:val="22"/>
          <w:szCs w:val="22"/>
        </w:rPr>
        <w:t>Unless otherwise indicated herein, any third-party trademarks, logos, or icons that may appear in this work are the property of their respective owners, and any references to third-party trademarks, logos, icons, or other trade dress are for demonstrative or descriptive purposes only. Such references are not intended to imply any sponsorship, endorsement, authorization, or promotion of Pearson’s products by the owners of such marks, or any relationship between the owner and Pearson Education, Inc., or its affiliates, authors, licensees, or distributors.</w:t>
      </w:r>
    </w:p>
    <w:p w14:paraId="16702CEE" w14:textId="2BB14442" w:rsidR="00926B65" w:rsidRDefault="00926B65" w:rsidP="00926B65"/>
    <w:p w14:paraId="4A9460F5" w14:textId="39586DB2" w:rsidR="00926B65" w:rsidRDefault="00926B65" w:rsidP="00926B65"/>
    <w:p w14:paraId="10752593" w14:textId="792F3F0E" w:rsidR="00926B65" w:rsidRDefault="00926B65" w:rsidP="00926B65"/>
    <w:p w14:paraId="2493074E" w14:textId="378C01B2" w:rsidR="00926B65" w:rsidRDefault="00926B65" w:rsidP="00926B65"/>
    <w:p w14:paraId="1129D2A6" w14:textId="0C82DAA3" w:rsidR="00926B65" w:rsidRDefault="00926B65" w:rsidP="00926B65"/>
    <w:p w14:paraId="130A58C3" w14:textId="77777777" w:rsidR="00926B65" w:rsidRDefault="00926B65" w:rsidP="00926B65"/>
    <w:p w14:paraId="68786998" w14:textId="77777777" w:rsidR="00926B65" w:rsidRDefault="00926B65" w:rsidP="00926B65">
      <w:r>
        <w:rPr>
          <w:noProof/>
        </w:rPr>
        <w:drawing>
          <wp:inline distT="0" distB="0" distL="0" distR="0" wp14:anchorId="6E77E2D4" wp14:editId="0845CD77">
            <wp:extent cx="1638300" cy="742950"/>
            <wp:effectExtent l="0" t="0" r="0" b="0"/>
            <wp:docPr id="3" name="image1.jpg" descr="C:\Users\uferncl\Desktop\PearsonLogo_Horizontal_Mono_Blk.jpg"/>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preferRelativeResize="0"/>
                  </pic:nvPicPr>
                  <pic:blipFill>
                    <a:blip r:embed="rId6"/>
                    <a:srcRect/>
                    <a:stretch>
                      <a:fillRect/>
                    </a:stretch>
                  </pic:blipFill>
                  <pic:spPr>
                    <a:xfrm>
                      <a:off x="0" y="0"/>
                      <a:ext cx="1638300" cy="742950"/>
                    </a:xfrm>
                    <a:prstGeom prst="rect">
                      <a:avLst/>
                    </a:prstGeom>
                    <a:ln/>
                  </pic:spPr>
                </pic:pic>
              </a:graphicData>
            </a:graphic>
          </wp:inline>
        </w:drawing>
      </w:r>
    </w:p>
    <w:p w14:paraId="7AE064FD" w14:textId="77777777" w:rsidR="00926B65" w:rsidRDefault="00926B65">
      <w:pPr>
        <w:jc w:val="center"/>
      </w:pPr>
    </w:p>
    <w:sectPr w:rsidR="00926B65">
      <w:pgSz w:w="12240" w:h="15840"/>
      <w:pgMar w:top="1440" w:right="1800" w:bottom="72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venirLTPro-Heavy">
    <w:altName w:val="Calibri"/>
    <w:panose1 w:val="00000000000000000000"/>
    <w:charset w:val="00"/>
    <w:family w:val="swiss"/>
    <w:notTrueType/>
    <w:pitch w:val="default"/>
    <w:sig w:usb0="00000003" w:usb1="00000000" w:usb2="00000000" w:usb3="00000000" w:csb0="00000001" w:csb1="00000000"/>
  </w:font>
  <w:font w:name="TimesLTPro-Semibol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980"/>
    <w:rsid w:val="004A6980"/>
    <w:rsid w:val="00926B65"/>
    <w:rsid w:val="00AE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F186"/>
  <w15:docId w15:val="{2551C9AB-F7BB-45D9-BE8D-E7549AA7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pearsoned.com/permission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Fernandes, Claudia</cp:lastModifiedBy>
  <cp:revision>2</cp:revision>
  <dcterms:created xsi:type="dcterms:W3CDTF">2020-04-09T18:09:00Z</dcterms:created>
  <dcterms:modified xsi:type="dcterms:W3CDTF">2020-04-09T18:09:00Z</dcterms:modified>
</cp:coreProperties>
</file>