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2ECC" w14:textId="4879FEE4" w:rsidR="00C92252" w:rsidRDefault="009A340D">
      <w:r>
        <w:rPr>
          <w:rStyle w:val="fontstyle01"/>
        </w:rPr>
        <w:t>Chapter 1 – Solutions to Assignment Problems</w:t>
      </w:r>
      <w:r>
        <w:rPr>
          <w:rFonts w:ascii="Arial-BoldMT" w:hAnsi="Arial-BoldMT"/>
          <w:b/>
          <w:bCs/>
          <w:color w:val="000000"/>
          <w:sz w:val="40"/>
          <w:szCs w:val="40"/>
        </w:rPr>
        <w:br/>
      </w:r>
      <w:r>
        <w:rPr>
          <w:rStyle w:val="fontstyle01"/>
          <w:sz w:val="32"/>
          <w:szCs w:val="32"/>
        </w:rPr>
        <w:t>Solution to AP 1-1</w:t>
      </w:r>
      <w:r>
        <w:rPr>
          <w:rFonts w:ascii="Arial-BoldMT" w:hAnsi="Arial-BoldMT"/>
          <w:b/>
          <w:bCs/>
          <w:color w:val="000000"/>
          <w:sz w:val="32"/>
          <w:szCs w:val="32"/>
        </w:rPr>
        <w:br/>
      </w:r>
      <w:r>
        <w:rPr>
          <w:rStyle w:val="fontstyle21"/>
        </w:rPr>
        <w:t>There is, of course, no one solution to this problem. Further, student answers will be limited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as, at this point, their understanding of tax concepts and procedures is fairly limited. However,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the problem should provide the basis of an interesting discussion. What we have provided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here are some suggested comments related to the various qualitative characteristics.</w:t>
      </w:r>
      <w:r>
        <w:rPr>
          <w:rFonts w:ascii="ArialMT" w:hAnsi="ArialMT"/>
          <w:color w:val="000000"/>
        </w:rPr>
        <w:br/>
      </w:r>
      <w:r>
        <w:rPr>
          <w:rStyle w:val="fontstyle01"/>
        </w:rPr>
        <w:t xml:space="preserve">Equity Or Fairness </w:t>
      </w:r>
      <w:r>
        <w:rPr>
          <w:rStyle w:val="fontstyle21"/>
        </w:rPr>
        <w:t>The increase provides both horizontal and vertical equity. Individuals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with the same income will receive the same treatment, while individuals with different income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will be treated differently.</w:t>
      </w:r>
      <w:r>
        <w:rPr>
          <w:rFonts w:ascii="ArialMT" w:hAnsi="ArialMT"/>
          <w:color w:val="000000"/>
        </w:rPr>
        <w:br/>
      </w:r>
      <w:r>
        <w:rPr>
          <w:rStyle w:val="fontstyle01"/>
        </w:rPr>
        <w:t xml:space="preserve">Neutrality </w:t>
      </w:r>
      <w:r>
        <w:rPr>
          <w:rStyle w:val="fontstyle21"/>
        </w:rPr>
        <w:t>The increase is not neutral. It targets high-income individuals and is likely to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influence their economic decisions.</w:t>
      </w:r>
      <w:r>
        <w:rPr>
          <w:rFonts w:ascii="ArialMT" w:hAnsi="ArialMT"/>
          <w:color w:val="000000"/>
        </w:rPr>
        <w:br/>
      </w:r>
      <w:r>
        <w:rPr>
          <w:rStyle w:val="fontstyle01"/>
        </w:rPr>
        <w:t xml:space="preserve">Adequacy </w:t>
      </w:r>
      <w:r>
        <w:rPr>
          <w:rStyle w:val="fontstyle21"/>
        </w:rPr>
        <w:t>While the increase was intended to create additional revenues, there is some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evidence that the opposite has happened. This reflects the fact that individuals with high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levels of income are sometimes in a position to move some, or all, of that income out of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Canada (e.g., move their residence to the U.S.).</w:t>
      </w:r>
      <w:r>
        <w:rPr>
          <w:rFonts w:ascii="ArialMT" w:hAnsi="ArialMT"/>
          <w:color w:val="000000"/>
        </w:rPr>
        <w:br/>
      </w:r>
      <w:r>
        <w:rPr>
          <w:rStyle w:val="fontstyle01"/>
        </w:rPr>
        <w:t xml:space="preserve">Flexibility </w:t>
      </w:r>
      <w:r>
        <w:rPr>
          <w:rStyle w:val="fontstyle21"/>
        </w:rPr>
        <w:t>With respect to flexibility, the rate can be changed at any time. However, as a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practical matter, such changes would need to be on an annual basis.</w:t>
      </w:r>
      <w:r>
        <w:rPr>
          <w:rFonts w:ascii="ArialMT" w:hAnsi="ArialMT"/>
          <w:color w:val="000000"/>
        </w:rPr>
        <w:br/>
      </w:r>
      <w:r>
        <w:rPr>
          <w:rStyle w:val="fontstyle01"/>
        </w:rPr>
        <w:t xml:space="preserve">Simplicity And Ease Of Compliance </w:t>
      </w:r>
      <w:r>
        <w:rPr>
          <w:rStyle w:val="fontstyle21"/>
        </w:rPr>
        <w:t>This change would not appear to present any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compliance issues.</w:t>
      </w:r>
      <w:r>
        <w:rPr>
          <w:rFonts w:ascii="ArialMT" w:hAnsi="ArialMT"/>
          <w:color w:val="000000"/>
        </w:rPr>
        <w:br/>
      </w:r>
      <w:r>
        <w:rPr>
          <w:rStyle w:val="fontstyle01"/>
        </w:rPr>
        <w:t xml:space="preserve">Certainty </w:t>
      </w:r>
      <w:r>
        <w:rPr>
          <w:rStyle w:val="fontstyle21"/>
        </w:rPr>
        <w:t>The increase makes it clear to individual taxpayers the amount of taxes that they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will be required to pay.</w:t>
      </w:r>
      <w:r>
        <w:rPr>
          <w:rFonts w:ascii="ArialMT" w:hAnsi="ArialMT"/>
          <w:color w:val="000000"/>
        </w:rPr>
        <w:br/>
      </w:r>
      <w:r>
        <w:rPr>
          <w:rStyle w:val="fontstyle01"/>
        </w:rPr>
        <w:t xml:space="preserve">Balance Between Sectors </w:t>
      </w:r>
      <w:r>
        <w:rPr>
          <w:rStyle w:val="fontstyle21"/>
        </w:rPr>
        <w:t>Unfortunately, this change will increase the imbalance in the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Canadian tax system between corporate and individual taxpayers. Before the change,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individuals were already paying a disproportionate share of tax revenues. The intent of this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change was to further increase this imbalance.</w:t>
      </w:r>
      <w:r>
        <w:rPr>
          <w:rFonts w:ascii="ArialMT" w:hAnsi="ArialMT"/>
          <w:color w:val="000000"/>
        </w:rPr>
        <w:br/>
      </w:r>
      <w:r>
        <w:rPr>
          <w:rStyle w:val="fontstyle01"/>
        </w:rPr>
        <w:t xml:space="preserve">International Competitiveness </w:t>
      </w:r>
      <w:r>
        <w:rPr>
          <w:rStyle w:val="fontstyle21"/>
        </w:rPr>
        <w:t>This increase further widens the gap between Canadian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and U.S. tax rates, making Canada far less competitive with the U.S. However, Canadian tax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rates are not out of line with tax rates in other industrialized countries.</w:t>
      </w:r>
      <w:r>
        <w:br/>
      </w:r>
      <w:r>
        <w:rPr>
          <w:rStyle w:val="fontstyle31"/>
        </w:rPr>
        <w:t xml:space="preserve">Instructor’s Solutions Manual, </w:t>
      </w:r>
      <w:r>
        <w:rPr>
          <w:rStyle w:val="fontstyle41"/>
        </w:rPr>
        <w:t>Byrd &amp; Chen’s Canadian Tax Principle</w:t>
      </w:r>
      <w:r>
        <w:rPr>
          <w:rStyle w:val="fontstyle31"/>
        </w:rPr>
        <w:t>s 2021/22 Edition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Style w:val="fontstyle31"/>
        </w:rPr>
        <w:t>Copyright © 2022 Pearson Education Inc. 1-2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Style w:val="fontstyle01"/>
          <w:sz w:val="32"/>
          <w:szCs w:val="32"/>
        </w:rPr>
        <w:t>Solution to AP 1-2</w:t>
      </w:r>
      <w:r>
        <w:rPr>
          <w:rFonts w:ascii="Arial-BoldMT" w:hAnsi="Arial-BoldMT"/>
          <w:b/>
          <w:bCs/>
          <w:color w:val="000000"/>
          <w:sz w:val="32"/>
          <w:szCs w:val="32"/>
        </w:rPr>
        <w:br/>
      </w:r>
      <w:r>
        <w:rPr>
          <w:rStyle w:val="fontstyle01"/>
        </w:rPr>
        <w:lastRenderedPageBreak/>
        <w:t xml:space="preserve">Instructor Note </w:t>
      </w:r>
      <w:r>
        <w:rPr>
          <w:rStyle w:val="fontstyle21"/>
        </w:rPr>
        <w:t>There is obviously no definite solution to this problem. What follows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represents only possible comments that could be made.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For the Canadian tax system to be more competitive with the United States, both individual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and corporate tax rates in this country would have to be lowered. The most obvious conflict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 xml:space="preserve">that would arise would be with </w:t>
      </w:r>
      <w:r>
        <w:rPr>
          <w:rStyle w:val="fontstyle01"/>
        </w:rPr>
        <w:t xml:space="preserve">ADEQUACY </w:t>
      </w:r>
      <w:r>
        <w:rPr>
          <w:rStyle w:val="fontstyle21"/>
        </w:rPr>
        <w:t>of revenues. Tax rate reductions reduce revenues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and would create additional problems with the large budget deficits that exist in Canada.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 xml:space="preserve">Another issue is </w:t>
      </w:r>
      <w:r>
        <w:rPr>
          <w:rStyle w:val="fontstyle01"/>
        </w:rPr>
        <w:t>BALANCE BETWEEN SECTORS</w:t>
      </w:r>
      <w:r>
        <w:rPr>
          <w:rStyle w:val="fontstyle21"/>
        </w:rPr>
        <w:t>. The Canadian system is heavily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dependent on individual income taxes as opposed to corporate income taxes. Lowering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corporate rates would further exacerbate this problem.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 xml:space="preserve">The question of </w:t>
      </w:r>
      <w:r>
        <w:rPr>
          <w:rStyle w:val="fontstyle01"/>
        </w:rPr>
        <w:t xml:space="preserve">NEUTRALITY </w:t>
      </w:r>
      <w:r>
        <w:rPr>
          <w:rStyle w:val="fontstyle21"/>
        </w:rPr>
        <w:t>could also be involved. Trying to match either U.S. individual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or U.S. corporate rates could have an impact on economic decisions.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 xml:space="preserve">Any change in tax rates has an impact on </w:t>
      </w:r>
      <w:r>
        <w:rPr>
          <w:rStyle w:val="fontstyle01"/>
        </w:rPr>
        <w:t>CERTAINTY.</w:t>
      </w:r>
      <w:r>
        <w:rPr>
          <w:rFonts w:ascii="Arial-BoldMT" w:hAnsi="Arial-BoldMT"/>
          <w:b/>
          <w:bCs/>
          <w:color w:val="000000"/>
        </w:rPr>
        <w:br/>
      </w:r>
      <w:r>
        <w:rPr>
          <w:rStyle w:val="fontstyle21"/>
        </w:rPr>
        <w:t>Depending on whether changes are made to corporate rates or, alternatively, individual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 xml:space="preserve">rates, this could have an impact on </w:t>
      </w:r>
      <w:r>
        <w:rPr>
          <w:rStyle w:val="fontstyle01"/>
        </w:rPr>
        <w:t xml:space="preserve">FAIRNESS </w:t>
      </w:r>
      <w:r>
        <w:rPr>
          <w:rStyle w:val="fontstyle21"/>
        </w:rPr>
        <w:t xml:space="preserve">or </w:t>
      </w:r>
      <w:r>
        <w:rPr>
          <w:rStyle w:val="fontstyle01"/>
        </w:rPr>
        <w:t>EQUITY</w:t>
      </w:r>
      <w:r>
        <w:rPr>
          <w:rStyle w:val="fontstyle21"/>
        </w:rPr>
        <w:t>.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 xml:space="preserve">Trying to match rates in the U.S. reduces the </w:t>
      </w:r>
      <w:r>
        <w:rPr>
          <w:rStyle w:val="fontstyle01"/>
        </w:rPr>
        <w:t xml:space="preserve">FLEXIBILITY </w:t>
      </w:r>
      <w:r>
        <w:rPr>
          <w:rStyle w:val="fontstyle21"/>
        </w:rPr>
        <w:t>of the Canadian tax system. As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noted, other comments could be appropriate.</w:t>
      </w:r>
      <w:r>
        <w:rPr>
          <w:rFonts w:ascii="ArialMT" w:hAnsi="ArialMT"/>
          <w:color w:val="000000"/>
        </w:rPr>
        <w:br/>
      </w:r>
      <w:r>
        <w:rPr>
          <w:rStyle w:val="fontstyle01"/>
          <w:sz w:val="32"/>
          <w:szCs w:val="32"/>
        </w:rPr>
        <w:t>Solution to AP 1-3</w:t>
      </w:r>
      <w:r>
        <w:rPr>
          <w:rFonts w:ascii="Arial-BoldMT" w:hAnsi="Arial-BoldMT"/>
          <w:b/>
          <w:bCs/>
          <w:color w:val="000000"/>
          <w:sz w:val="32"/>
          <w:szCs w:val="32"/>
        </w:rPr>
        <w:br/>
      </w:r>
      <w:r>
        <w:rPr>
          <w:rStyle w:val="fontstyle21"/>
        </w:rPr>
        <w:t xml:space="preserve">A. </w:t>
      </w:r>
      <w:r>
        <w:rPr>
          <w:rStyle w:val="fontstyle01"/>
        </w:rPr>
        <w:t xml:space="preserve">Diamonds, South Africa </w:t>
      </w:r>
      <w:r>
        <w:rPr>
          <w:rStyle w:val="fontstyle21"/>
        </w:rPr>
        <w:t>In a monopoly, the tax will probably be entirely shifted to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employees and/or consumers. The incidence shift will depend on competition in world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markets and employment levels. If the international diamond market is price sensitive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and there is high unemployment in South Africa, then the tax will be shifted almost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entirely to employees.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The shifting assumptions affect evaluation of the tax using the characteristics of a “good”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tax system. A tax that is entirely shifted to employees is similar to one on wages and is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non-neutral, as it affects the decisions of employees to continue working. Some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employees will work less and thus increase the excess burden resulting from the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imposition of the tax.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 xml:space="preserve">B. </w:t>
      </w:r>
      <w:r>
        <w:rPr>
          <w:rStyle w:val="fontstyle01"/>
        </w:rPr>
        <w:t xml:space="preserve">Diamonds, Sierra Leone </w:t>
      </w:r>
      <w:r>
        <w:rPr>
          <w:rStyle w:val="fontstyle21"/>
        </w:rPr>
        <w:t>The taxing authorities will find it difficult to enforce the tax, due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to their inability to track diamond movements. Records maintained by the mine will likely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be inaccessible, and those presented will be incomplete. The tax will not be effective,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and the tax revenue will be uncertain and inadequate.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lastRenderedPageBreak/>
        <w:t xml:space="preserve">C. </w:t>
      </w:r>
      <w:r>
        <w:rPr>
          <w:rStyle w:val="fontstyle01"/>
        </w:rPr>
        <w:t xml:space="preserve">Principal Residences, Canada </w:t>
      </w:r>
      <w:r>
        <w:rPr>
          <w:rStyle w:val="fontstyle21"/>
        </w:rPr>
        <w:t>This exemption is non-neutral because investment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decisions are affected by the tax preference. Given the choice of investing in real estate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to hold for resale or a principal residence, both of which are likely to appreciate, a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taxpayer will invest in a principal residence so that the gain on disposition is tax exempt.</w:t>
      </w:r>
      <w:r>
        <w:br/>
      </w:r>
      <w:r>
        <w:rPr>
          <w:rStyle w:val="fontstyle31"/>
        </w:rPr>
        <w:t xml:space="preserve">Instructor’s Solutions Manual, </w:t>
      </w:r>
      <w:r>
        <w:rPr>
          <w:rStyle w:val="fontstyle41"/>
        </w:rPr>
        <w:t>Byrd &amp; Chen’s Canadian Tax Principle</w:t>
      </w:r>
      <w:r>
        <w:rPr>
          <w:rStyle w:val="fontstyle31"/>
        </w:rPr>
        <w:t>s 2021/22 Edition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Style w:val="fontstyle31"/>
        </w:rPr>
        <w:t>Copyright © 2022 Pearson Education Inc. 1-3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Style w:val="fontstyle21"/>
        </w:rPr>
        <w:t>It is also vertically inequitable because it benefits high-income families who can invest in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more expensive residences, which have the potential of earning greater returns.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This tax expenditure is spread among all taxpayers, and general tax revenue must be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larger to compensate for the reduced revenue.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 xml:space="preserve">D. </w:t>
      </w:r>
      <w:r>
        <w:rPr>
          <w:rStyle w:val="fontstyle01"/>
        </w:rPr>
        <w:t xml:space="preserve">Business Meals, Canada </w:t>
      </w:r>
      <w:r>
        <w:rPr>
          <w:rStyle w:val="fontstyle21"/>
        </w:rPr>
        <w:t>This restriction adds complexity to accounting for deductible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expenses, as all business meals have to be accounted for and accumulated separately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from other promotion expenses. The tax could be shifted to consumers, employees, and/or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shareholders. If it is shifted to consumers, it could be more advantageous to raise personal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taxes so that incidence is more certain. If it is shifted to shareholders or employees, then it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would be non-neutral as it could affect investment decision making and willingness to work.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 xml:space="preserve">E. </w:t>
      </w:r>
      <w:r>
        <w:rPr>
          <w:rStyle w:val="fontstyle01"/>
        </w:rPr>
        <w:t xml:space="preserve">Head Tax </w:t>
      </w:r>
      <w:r>
        <w:rPr>
          <w:rStyle w:val="fontstyle21"/>
        </w:rPr>
        <w:t>A head tax is neutral as it does not affect economic choices. However, it is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vertically inequitable, based on the ability to pay concept of equity, as all taxpayers,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regardless of their income levels, are taxed the same. This tax serves the objectives of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certainty, simplicity, and ease of compliance. It could promote stability in the economy.</w:t>
      </w:r>
      <w:r>
        <w:rPr>
          <w:rFonts w:ascii="ArialMT" w:hAnsi="ArialMT"/>
          <w:color w:val="000000"/>
        </w:rPr>
        <w:br/>
      </w:r>
      <w:r>
        <w:rPr>
          <w:rStyle w:val="fontstyle01"/>
          <w:sz w:val="32"/>
          <w:szCs w:val="32"/>
        </w:rPr>
        <w:t>Solution to AP 1-4</w:t>
      </w:r>
      <w:r>
        <w:rPr>
          <w:rFonts w:ascii="Arial-BoldMT" w:hAnsi="Arial-BoldMT"/>
          <w:b/>
          <w:bCs/>
          <w:color w:val="000000"/>
          <w:sz w:val="32"/>
          <w:szCs w:val="32"/>
        </w:rPr>
        <w:br/>
      </w:r>
      <w:r>
        <w:rPr>
          <w:rStyle w:val="fontstyle21"/>
        </w:rPr>
        <w:t>While there is not one “correct” solution to this problem, the following solution contains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comments on each of the listed qualitative characteristics.</w:t>
      </w:r>
      <w:r>
        <w:rPr>
          <w:rFonts w:ascii="ArialMT" w:hAnsi="ArialMT"/>
          <w:color w:val="000000"/>
        </w:rPr>
        <w:br/>
      </w:r>
      <w:r>
        <w:rPr>
          <w:rStyle w:val="fontstyle01"/>
        </w:rPr>
        <w:t xml:space="preserve">Equity Or Fairness </w:t>
      </w:r>
      <w:r>
        <w:rPr>
          <w:rStyle w:val="fontstyle21"/>
        </w:rPr>
        <w:t>The toll is clearly regressive in nature in that it is assessed almost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exclusively on lower-income individuals. In general, regressive taxes are viewed as being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less fair. While the toll has horizontal equity (individuals with the same Taxable Income would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pay the same amounts), it lacks vertical equity (the higher-income residents of the island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would not normally be subject to the tolls).</w:t>
      </w:r>
      <w:r>
        <w:rPr>
          <w:rFonts w:ascii="ArialMT" w:hAnsi="ArialMT"/>
          <w:color w:val="000000"/>
        </w:rPr>
        <w:br/>
      </w:r>
      <w:r>
        <w:rPr>
          <w:rStyle w:val="fontstyle01"/>
        </w:rPr>
        <w:t xml:space="preserve">Neutrality </w:t>
      </w:r>
      <w:r>
        <w:rPr>
          <w:rStyle w:val="fontstyle21"/>
        </w:rPr>
        <w:t>The concept of neutrality calls for a tax system that interferes as little as possible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with decision making. The toll may influence employment decisions. If the non-residents have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off-island employment opportunities, they may choose not to work on the island.</w:t>
      </w:r>
      <w:r>
        <w:rPr>
          <w:rFonts w:ascii="ArialMT" w:hAnsi="ArialMT"/>
          <w:color w:val="000000"/>
        </w:rPr>
        <w:br/>
      </w:r>
      <w:r>
        <w:rPr>
          <w:rStyle w:val="fontstyle01"/>
        </w:rPr>
        <w:t xml:space="preserve">Adequacy </w:t>
      </w:r>
      <w:r>
        <w:rPr>
          <w:rStyle w:val="fontstyle21"/>
        </w:rPr>
        <w:t>While we do not have any information on this, it would be safe to assume that the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toll was established at a level that would be adequate for the funding requirements related to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the bridge.</w:t>
      </w:r>
      <w:r>
        <w:rPr>
          <w:rFonts w:ascii="ArialMT" w:hAnsi="ArialMT"/>
          <w:color w:val="000000"/>
        </w:rPr>
        <w:br/>
      </w:r>
      <w:r>
        <w:rPr>
          <w:rStyle w:val="fontstyle01"/>
        </w:rPr>
        <w:t xml:space="preserve">Flexibility </w:t>
      </w:r>
      <w:r>
        <w:rPr>
          <w:rStyle w:val="fontstyle21"/>
        </w:rPr>
        <w:t>This refers to the ease with which the tax system can be adjusted to meet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lastRenderedPageBreak/>
        <w:t>changing economic or social conditions. The tolls can be easily adjusted and therefore get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high marks for this characteristic.</w:t>
      </w:r>
      <w:r>
        <w:rPr>
          <w:rFonts w:ascii="ArialMT" w:hAnsi="ArialMT"/>
          <w:color w:val="000000"/>
        </w:rPr>
        <w:br/>
      </w:r>
      <w:r>
        <w:rPr>
          <w:rStyle w:val="fontstyle01"/>
        </w:rPr>
        <w:t xml:space="preserve">Simplicity And Ease of Compliance </w:t>
      </w:r>
      <w:r>
        <w:rPr>
          <w:rStyle w:val="fontstyle21"/>
        </w:rPr>
        <w:t>A good tax system is easy to comply with and does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not present significant administrative problems for the people enforcing the system. The toll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would receive high marks in this regard.</w:t>
      </w:r>
      <w:r>
        <w:rPr>
          <w:rFonts w:ascii="ArialMT" w:hAnsi="ArialMT"/>
          <w:color w:val="000000"/>
        </w:rPr>
        <w:br/>
      </w:r>
      <w:r>
        <w:rPr>
          <w:rStyle w:val="fontstyle01"/>
        </w:rPr>
        <w:t xml:space="preserve">Certainty </w:t>
      </w:r>
      <w:r>
        <w:rPr>
          <w:rStyle w:val="fontstyle21"/>
        </w:rPr>
        <w:t>Individual taxpayers should know how much tax they have to pay, the basis for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payments, and the due date. There is no uncertainty associated with a clearly posted toll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rate.</w:t>
      </w:r>
      <w:r>
        <w:br/>
      </w:r>
      <w:r>
        <w:rPr>
          <w:rStyle w:val="fontstyle31"/>
        </w:rPr>
        <w:t xml:space="preserve">Instructor’s Solutions Manual, </w:t>
      </w:r>
      <w:r>
        <w:rPr>
          <w:rStyle w:val="fontstyle41"/>
        </w:rPr>
        <w:t>Byrd &amp; Chen’s Canadian Tax Principle</w:t>
      </w:r>
      <w:r>
        <w:rPr>
          <w:rStyle w:val="fontstyle31"/>
        </w:rPr>
        <w:t>s 2021/22 Edition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Style w:val="fontstyle31"/>
        </w:rPr>
        <w:t>Copyright © 2022 Pearson Education Inc. 1-4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Style w:val="fontstyle01"/>
        </w:rPr>
        <w:t xml:space="preserve">Balance Between Sectors </w:t>
      </w:r>
      <w:r>
        <w:rPr>
          <w:rStyle w:val="fontstyle21"/>
        </w:rPr>
        <w:t>A good tax system should not be overly reliant on either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corporate or individual taxation. The toll is totally reliant on the taxation of individuals.</w:t>
      </w:r>
      <w:r>
        <w:rPr>
          <w:rFonts w:ascii="ArialMT" w:hAnsi="ArialMT"/>
          <w:color w:val="000000"/>
        </w:rPr>
        <w:br/>
      </w:r>
      <w:r>
        <w:rPr>
          <w:rStyle w:val="fontstyle01"/>
        </w:rPr>
        <w:t xml:space="preserve">International Competitiveness </w:t>
      </w:r>
      <w:r>
        <w:rPr>
          <w:rStyle w:val="fontstyle21"/>
        </w:rPr>
        <w:t>If a country’s tax system has rates that are out of line with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those in comparable countries, the result will be an outflow of both business and skilled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individuals to those countries that have more favourable tax rates. Although international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competitiveness would not appear to be an issue with the toll, it would affect the ability of the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city to maintain and attract workers.</w:t>
      </w:r>
      <w:r>
        <w:rPr>
          <w:rFonts w:ascii="ArialMT" w:hAnsi="ArialMT"/>
          <w:color w:val="000000"/>
        </w:rPr>
        <w:br/>
      </w:r>
      <w:r>
        <w:rPr>
          <w:rStyle w:val="fontstyle01"/>
          <w:sz w:val="32"/>
          <w:szCs w:val="32"/>
        </w:rPr>
        <w:t>Solution to AP 1-5</w:t>
      </w:r>
      <w:r>
        <w:rPr>
          <w:rFonts w:ascii="Arial-BoldMT" w:hAnsi="Arial-BoldMT"/>
          <w:b/>
          <w:bCs/>
          <w:color w:val="000000"/>
          <w:sz w:val="32"/>
          <w:szCs w:val="32"/>
        </w:rPr>
        <w:br/>
      </w:r>
      <w:r>
        <w:rPr>
          <w:rStyle w:val="fontstyle21"/>
        </w:rPr>
        <w:t>Mr. Valmont would be considered a part year resident and would only be assessed for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Canadian income taxes on worldwide income during the portion of the year prior to his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ceasing to be a resident of Canada.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S5-F1-C1 indicates that, in general, the CRA will view an individual as becoming a nonresident on the latest of three dates:</w:t>
      </w:r>
      <w:r>
        <w:rPr>
          <w:rFonts w:ascii="ArialMT" w:hAnsi="Arial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The date the individual leaves Canada.</w:t>
      </w:r>
      <w:r>
        <w:rPr>
          <w:rFonts w:ascii="ArialMT" w:hAnsi="Arial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The date the individual’s spouse or common-law partner and dependants leave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Canada.</w:t>
      </w:r>
      <w:r>
        <w:rPr>
          <w:rFonts w:ascii="ArialMT" w:hAnsi="Arial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The date the individual becomes a resident of another country.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While Mr. Valmont departed from Canada in May 2021, he will be considered a Canadian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resident until his family’s departure on June 30, 2021. The fact that his family remained in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Canada would lead to this conclusion. While not essential to this conclusion, the fact that he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did not sell his Canadian residence until after that date would provide additional support.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His Canadian salary from January 1, 2021, to May 27, 2021, would be subject to Canadian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taxes. In addition, his U.S. salary for the period May 28, 2021, through June 30, 2021, will be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subject, first to U.S. taxes, and then subsequently to Canadian taxes. In calculating his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Canadian taxes payable, he will receive a credit for the U.S. taxes that he has paid on this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income. However, because Canadian tax rates at a given income level are usually higher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than those that prevail in the U.S., it is likely that he will be required to pay some Canadian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income taxes in addition to the U.S. taxes on that income.</w:t>
      </w:r>
      <w:r>
        <w:rPr>
          <w:rFonts w:ascii="ArialMT" w:hAnsi="ArialMT"/>
          <w:color w:val="000000"/>
        </w:rPr>
        <w:br/>
      </w:r>
      <w:r>
        <w:rPr>
          <w:rStyle w:val="fontstyle01"/>
        </w:rPr>
        <w:t xml:space="preserve">Note to Instructors </w:t>
      </w:r>
      <w:r>
        <w:rPr>
          <w:rStyle w:val="fontstyle21"/>
        </w:rPr>
        <w:t>The preceding solution reflects the content of the text with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lastRenderedPageBreak/>
        <w:t>respect to departures from Canada and students should be evaluated on that basis.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However, S5-F1-C1 qualifies the general departure rules as follows:</w:t>
      </w:r>
      <w:r>
        <w:rPr>
          <w:rFonts w:ascii="ArialMT" w:hAnsi="ArialMT"/>
          <w:color w:val="000000"/>
        </w:rPr>
        <w:br/>
      </w:r>
      <w:r>
        <w:rPr>
          <w:rStyle w:val="fontstyle01"/>
        </w:rPr>
        <w:t xml:space="preserve">Paragraph 1.22 </w:t>
      </w:r>
      <w:r>
        <w:rPr>
          <w:rStyle w:val="fontstyle21"/>
        </w:rPr>
        <w:t>An exception to this will occur where the individual was resident in another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country prior to entering Canada and is leaving to re-establish his or her residence in that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country. In this case, the individual will generally become a non-resident on the date he or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she leaves Canada, even if, for example, his or her spouse or common-law partner remains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temporarily behind in Canada to dispose of their dwelling place in Canada or so that their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dependants may complete a school year already in progress.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On the assumption that Mr. Valmont was a resident of the U.S. prior to his working years in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Canada, this exception would mean that he would cease to be a resident of Canada on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May 27, 2021, the date that he departs from Canada.</w:t>
      </w:r>
      <w:r>
        <w:br/>
      </w:r>
      <w:r>
        <w:rPr>
          <w:rStyle w:val="fontstyle31"/>
        </w:rPr>
        <w:t xml:space="preserve">Instructor’s Solutions Manual, </w:t>
      </w:r>
      <w:r>
        <w:rPr>
          <w:rStyle w:val="fontstyle41"/>
        </w:rPr>
        <w:t>Byrd &amp; Chen’s Canadian Tax Principle</w:t>
      </w:r>
      <w:r>
        <w:rPr>
          <w:rStyle w:val="fontstyle31"/>
        </w:rPr>
        <w:t>s 2021/22 Edition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Style w:val="fontstyle31"/>
        </w:rPr>
        <w:t>Copyright © 2022 Pearson Education Inc. 1-5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Style w:val="fontstyle21"/>
        </w:rPr>
        <w:t>The textbook does not deal with the residency rules of countries other than Canada.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Although this solution concludes that June 30 is the date residency is terminated in Canada,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it is probable that the foreign jurisdiction (the U.S.) would consider Mr. Valmont to be resident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under their own rules effective May 28. In effect, the period between May 28 and June 30th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would become a dual residency period. We would not expect students to come to this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conclusion, but include this to illustrate the complexities of international issues in taxation.</w:t>
      </w:r>
      <w:r>
        <w:rPr>
          <w:rFonts w:ascii="ArialMT" w:hAnsi="ArialMT"/>
          <w:color w:val="000000"/>
        </w:rPr>
        <w:br/>
      </w:r>
      <w:r>
        <w:rPr>
          <w:rStyle w:val="fontstyle01"/>
          <w:sz w:val="32"/>
          <w:szCs w:val="32"/>
        </w:rPr>
        <w:t>Solution to AP 1-6</w:t>
      </w:r>
      <w:r>
        <w:rPr>
          <w:rFonts w:ascii="Arial-BoldMT" w:hAnsi="Arial-BoldMT"/>
          <w:b/>
          <w:bCs/>
          <w:color w:val="000000"/>
          <w:sz w:val="32"/>
          <w:szCs w:val="32"/>
        </w:rPr>
        <w:br/>
      </w:r>
      <w:r>
        <w:rPr>
          <w:rStyle w:val="fontstyle01"/>
        </w:rPr>
        <w:t xml:space="preserve">Note To Instructors </w:t>
      </w:r>
      <w:r>
        <w:rPr>
          <w:rStyle w:val="fontstyle21"/>
        </w:rPr>
        <w:t xml:space="preserve">This problem is based on a Tax Court Of Canada case, </w:t>
      </w:r>
      <w:r>
        <w:rPr>
          <w:rStyle w:val="fontstyle61"/>
        </w:rPr>
        <w:t>Hamel vs.</w:t>
      </w:r>
      <w:r>
        <w:rPr>
          <w:rFonts w:ascii="Arial-ItalicMT" w:hAnsi="Arial-ItalicMT"/>
          <w:i/>
          <w:iCs/>
          <w:color w:val="000000"/>
        </w:rPr>
        <w:br/>
      </w:r>
      <w:r>
        <w:rPr>
          <w:rStyle w:val="fontstyle61"/>
        </w:rPr>
        <w:t xml:space="preserve">The Queen </w:t>
      </w:r>
      <w:r>
        <w:rPr>
          <w:rStyle w:val="fontstyle21"/>
        </w:rPr>
        <w:t>(2012 DTC 1004). The actual year in question is 2007, with the judgment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being rendered in 2011. We have changed the dates in the problem. It is important to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keep in mind that the determination of residency is based on the facts supporting an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intention to permanently depart and therefore sever Canadian residency. In this case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the Judge was convinced that the individual did intent to permanently depart which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was consistent with the facts.</w:t>
      </w:r>
      <w:r>
        <w:rPr>
          <w:rFonts w:ascii="ArialMT" w:hAnsi="ArialMT"/>
          <w:color w:val="000000"/>
        </w:rPr>
        <w:br/>
      </w:r>
      <w:r>
        <w:rPr>
          <w:rStyle w:val="fontstyle71"/>
        </w:rPr>
        <w:t>Background</w:t>
      </w:r>
      <w:r>
        <w:rPr>
          <w:rFonts w:ascii="Arial-BoldItalicMT" w:hAnsi="Arial-BoldItalicMT"/>
          <w:b/>
          <w:bCs/>
          <w:i/>
          <w:iCs/>
          <w:color w:val="000000"/>
        </w:rPr>
        <w:br/>
      </w:r>
      <w:r>
        <w:rPr>
          <w:rStyle w:val="fontstyle21"/>
        </w:rPr>
        <w:t>The minister assessed Mr. Hamel on the basis of his not giving up Canadian residency on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January 13, 2007 (the original date in the case). Mr. Hamel appealed to the Tax Court of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 xml:space="preserve">Canada, which resulted in </w:t>
      </w:r>
      <w:r>
        <w:rPr>
          <w:rStyle w:val="fontstyle61"/>
        </w:rPr>
        <w:t xml:space="preserve">Hamel vs. The Queen </w:t>
      </w:r>
      <w:r>
        <w:rPr>
          <w:rStyle w:val="fontstyle21"/>
        </w:rPr>
        <w:t>(2012 DTC 1004).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The solution that follows is the judge’s analysis and decision in the case (note that it was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translated from French). The judge’s conclusion also contained a long section of references to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other cases, which we have not included in this solution. The original dates in the solution have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been changed to correspond to the dates in the problem.</w:t>
      </w:r>
      <w:r>
        <w:rPr>
          <w:rFonts w:ascii="ArialMT" w:hAnsi="ArialMT"/>
          <w:color w:val="000000"/>
        </w:rPr>
        <w:br/>
      </w:r>
      <w:r>
        <w:rPr>
          <w:rStyle w:val="fontstyle71"/>
        </w:rPr>
        <w:t>Judge’s Analysis and Decision</w:t>
      </w:r>
      <w:r>
        <w:rPr>
          <w:rFonts w:ascii="Arial-BoldItalicMT" w:hAnsi="Arial-BoldItalicMT"/>
          <w:b/>
          <w:bCs/>
          <w:i/>
          <w:iCs/>
          <w:color w:val="000000"/>
        </w:rPr>
        <w:br/>
      </w:r>
      <w:r>
        <w:rPr>
          <w:rStyle w:val="fontstyle21"/>
        </w:rPr>
        <w:t>The respondent’s main argument is that every person must have a residence. Presuming the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appellant had not resided in Qatar, she found that he must necessarily have resided in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Canada.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After arriving at this conclusion, she relied on the following facts:</w:t>
      </w:r>
      <w:r>
        <w:rPr>
          <w:rFonts w:ascii="ArialMT" w:hAnsi="Arial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The appellant came to Canada a few times.</w:t>
      </w:r>
      <w:r>
        <w:rPr>
          <w:rFonts w:ascii="ArialMT" w:hAnsi="Arial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The appellant had two bank accounts in Canada, which he used to make all his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payments, in particular for his credit cards, which were also issued in Canada.</w:t>
      </w:r>
      <w:r>
        <w:rPr>
          <w:rFonts w:ascii="ArialMT" w:hAnsi="ArialMT"/>
          <w:color w:val="000000"/>
        </w:rPr>
        <w:br/>
      </w:r>
      <w:r>
        <w:rPr>
          <w:rStyle w:val="fontstyle51"/>
        </w:rPr>
        <w:lastRenderedPageBreak/>
        <w:t xml:space="preserve">• </w:t>
      </w:r>
      <w:r>
        <w:rPr>
          <w:rStyle w:val="fontstyle21"/>
        </w:rPr>
        <w:t>The appellant had some money in an RRSP.</w:t>
      </w:r>
      <w:r>
        <w:rPr>
          <w:rFonts w:ascii="ArialMT" w:hAnsi="Arial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The appellant had no postal address in Qatar.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As for the other elements, for example, not having a driver’s licence, not having property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such as furniture, clothing, accommodations, or vehicles, and not having a health insurance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card, the respondent claims that they have no impact one way or the other.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The evidence clearly showed that the appellant’s decision came after a lengthy period of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reflection. It also showed that the appellant did not have any deep roots and did not hesitate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to leave when his son, who was ill, let him go with no regrets.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His relationship with his wife was so tense that they tolerated one another only because of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their shared concern about their son who was ill.</w:t>
      </w:r>
      <w:r>
        <w:br/>
      </w:r>
      <w:r>
        <w:rPr>
          <w:rStyle w:val="fontstyle31"/>
        </w:rPr>
        <w:t xml:space="preserve">Instructor’s Solutions Manual, </w:t>
      </w:r>
      <w:r>
        <w:rPr>
          <w:rStyle w:val="fontstyle41"/>
        </w:rPr>
        <w:t>Byrd &amp; Chen’s Canadian Tax Principle</w:t>
      </w:r>
      <w:r>
        <w:rPr>
          <w:rStyle w:val="fontstyle31"/>
        </w:rPr>
        <w:t>s 2021/22 Edition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Style w:val="fontstyle31"/>
        </w:rPr>
        <w:t>Copyright © 2022 Pearson Education Inc. 1-6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Style w:val="fontstyle21"/>
        </w:rPr>
        <w:t>The appellant had a very good position. He did not want to run away from his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responsibilities. He gave all his property and agreed to pay generous support payments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before leaving; he has always complied with these commitments. He did not apply for a new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Canadian driver’s licence when his was suspended, even though the evidence showed it was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important for him to be able to use a car if he wanted an international driver’s licence or even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a driver’s licence from the country in which he was living.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He specifically gave up his health card in 2021.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Regarding the beginning of the relevant period of the appeal, the beginning of 2020 (the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original year), it must be considered that a reasonable person would be careful. The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appellant stated he could only get a work permit if a medical exam showed he was in good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health, otherwise he had to return to his country of origin. The same can be said for the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position, the duration of which generally depends on the employer, not the employee. In other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words, there is, normally, a reasonable delay before a permanent break. This explains the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time between the beginning of the period in question and the time the appellant gave up his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health insurance.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As for the argument that the appellant never had a residence in Qatar, I do not believe it is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cogent, because the appellant was employed and had a residence. The appellant’s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strong interest in staying in Qatar was shown by the intensive courses he took to get a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driver’s licence, when he could have travelled with coworkers, even though he had cancelled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his Canadian driver’s licence. When his employment ended in Qatar, the appellant returned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to the country to see the people with whom he had worked and the work he had done.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In particular, in view of the following facts, I find that, on the preponderance of the evidence,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the appellant’s position must be accepted:</w:t>
      </w:r>
      <w:r>
        <w:rPr>
          <w:rFonts w:ascii="ArialMT" w:hAnsi="Arial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The family context was special and conducive to a permanent departure.</w:t>
      </w:r>
      <w:r>
        <w:rPr>
          <w:rFonts w:ascii="ArialMT" w:hAnsi="Arial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The appellant left after disposing of all his own property.</w:t>
      </w:r>
      <w:r>
        <w:rPr>
          <w:rFonts w:ascii="ArialMT" w:hAnsi="Arial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The appellant waived his right to obtain a new driver’s licence a few months before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leaving Canada.</w:t>
      </w:r>
      <w:r>
        <w:rPr>
          <w:rFonts w:ascii="ArialMT" w:hAnsi="Arial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The appellant returned to Canada a few times for very short stays that were for the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purpose of visiting his two sons, his mother, and friends.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After leaving Qatar upon the expiry of his work contract, the appellant returned to meet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friends and business acquaintances, thereby showing he had been happy there.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The break came after a long period of thorough reflection.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The appellant has set out all the facts showing his intention to sever ties with this country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permanently.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Although the relevance of prior facts is limited, they tend to confirm that the appellant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lastRenderedPageBreak/>
        <w:t>severed his ties with Canada in mid-January 2020.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For these reasons, I conclude that the appellant ceased being a resident of Canada as of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January 13, 2020. As a result, the appeal is allowed with costs in favour of the appellant.</w:t>
      </w:r>
      <w:r>
        <w:br/>
      </w:r>
      <w:r>
        <w:rPr>
          <w:rStyle w:val="fontstyle31"/>
        </w:rPr>
        <w:t xml:space="preserve">Instructor’s Solutions Manual, </w:t>
      </w:r>
      <w:r>
        <w:rPr>
          <w:rStyle w:val="fontstyle41"/>
        </w:rPr>
        <w:t>Byrd &amp; Chen’s Canadian Tax Principle</w:t>
      </w:r>
      <w:r>
        <w:rPr>
          <w:rStyle w:val="fontstyle31"/>
        </w:rPr>
        <w:t>s 2021/22 Edition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Style w:val="fontstyle31"/>
        </w:rPr>
        <w:t>Copyright © 2022 Pearson Education Inc. 1-7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Style w:val="fontstyle01"/>
          <w:sz w:val="32"/>
          <w:szCs w:val="32"/>
        </w:rPr>
        <w:t>Solution to AP 1-7</w:t>
      </w:r>
      <w:r>
        <w:rPr>
          <w:rFonts w:ascii="Arial-BoldMT" w:hAnsi="Arial-BoldMT"/>
          <w:b/>
          <w:bCs/>
          <w:color w:val="000000"/>
          <w:sz w:val="32"/>
          <w:szCs w:val="32"/>
        </w:rPr>
        <w:br/>
      </w:r>
      <w:r>
        <w:rPr>
          <w:rStyle w:val="fontstyle71"/>
        </w:rPr>
        <w:t>Case A</w:t>
      </w:r>
      <w:r>
        <w:rPr>
          <w:rFonts w:ascii="Arial-BoldItalicMT" w:hAnsi="Arial-BoldItalicMT"/>
          <w:b/>
          <w:bCs/>
          <w:i/>
          <w:iCs/>
          <w:color w:val="000000"/>
        </w:rPr>
        <w:br/>
      </w:r>
      <w:r>
        <w:rPr>
          <w:rStyle w:val="fontstyle21"/>
        </w:rPr>
        <w:t>Residency terminates at the latest of:</w:t>
      </w:r>
      <w:r>
        <w:rPr>
          <w:rFonts w:ascii="ArialMT" w:hAnsi="Arial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the date the individual leaves Canada;</w:t>
      </w:r>
      <w:r>
        <w:rPr>
          <w:rFonts w:ascii="ArialMT" w:hAnsi="Arial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the date the individual’s family leaves Canada; and</w:t>
      </w:r>
      <w:r>
        <w:rPr>
          <w:rFonts w:ascii="ArialMT" w:hAnsi="Arial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the date that individual establishes residency elsewhere.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As Gary’s family did not leave Canada until June 30, 2021, Gary would be considered a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Canadian resident until that date. Provided he has no intention of returning to Canada, he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would be a Canadian resident for the period January 1, 2021, through June 30, 2021. He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would be subject to Part I tax on his worldwide income during this period. He would not be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subject to Part I tax on his rental income subject to that date.</w:t>
      </w:r>
      <w:r>
        <w:rPr>
          <w:rFonts w:ascii="ArialMT" w:hAnsi="ArialMT"/>
          <w:color w:val="000000"/>
        </w:rPr>
        <w:br/>
      </w:r>
      <w:r>
        <w:rPr>
          <w:rStyle w:val="fontstyle01"/>
        </w:rPr>
        <w:t xml:space="preserve">Note to Instructors </w:t>
      </w:r>
      <w:r>
        <w:rPr>
          <w:rStyle w:val="fontstyle21"/>
        </w:rPr>
        <w:t>As will be discussed in Chapter 20, the tax on the rental income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would not be subject to Part I tax. It would be Part XIII tax.</w:t>
      </w:r>
      <w:r>
        <w:rPr>
          <w:rFonts w:ascii="ArialMT" w:hAnsi="ArialMT"/>
          <w:color w:val="000000"/>
        </w:rPr>
        <w:br/>
      </w:r>
      <w:r>
        <w:rPr>
          <w:rStyle w:val="fontstyle71"/>
        </w:rPr>
        <w:t>Case B</w:t>
      </w:r>
      <w:r>
        <w:rPr>
          <w:rFonts w:ascii="Arial-BoldItalicMT" w:hAnsi="Arial-BoldItalicMT"/>
          <w:b/>
          <w:bCs/>
          <w:i/>
          <w:iCs/>
          <w:color w:val="000000"/>
        </w:rPr>
        <w:br/>
      </w:r>
      <w:r>
        <w:rPr>
          <w:rStyle w:val="fontstyle21"/>
        </w:rPr>
        <w:t>As noted in S5-F1-C1, “Determining an Individual’s Residence Status”, commuting from the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U.S. for employment purposes does not make an individual a deemed resident under the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sojourner rules. Therefore, Sarah would not be considered a Canadian resident for income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tax purposes.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Sarah would be subject to Canadian tax on her 2021 Canadian employment income. She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would not be subject to Canadian tax on her U.S. savings account interest.</w:t>
      </w:r>
      <w:r>
        <w:rPr>
          <w:rFonts w:ascii="ArialMT" w:hAnsi="ArialMT"/>
          <w:color w:val="000000"/>
        </w:rPr>
        <w:br/>
      </w:r>
      <w:r>
        <w:rPr>
          <w:rStyle w:val="fontstyle71"/>
        </w:rPr>
        <w:t>Case C</w:t>
      </w:r>
      <w:r>
        <w:rPr>
          <w:rFonts w:ascii="Arial-BoldItalicMT" w:hAnsi="Arial-BoldItalicMT"/>
          <w:b/>
          <w:bCs/>
          <w:i/>
          <w:iCs/>
          <w:color w:val="000000"/>
        </w:rPr>
        <w:br/>
      </w:r>
      <w:r>
        <w:rPr>
          <w:rStyle w:val="fontstyle21"/>
        </w:rPr>
        <w:t>Byron’s cruise would be considered a temporary absence from Canada. Given the facts, it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appears his intent is not to permanently sever residential ties with Canada. This position is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evidenced by the fact his cruise is for a limited time and he will not be establishing residency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in another country.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Byron's departure does not appear to be a true departure in that he has only taken a leave of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absence from his job. In addition, he has retained some residential ties.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Given these facts, Byron will remain a Canadian resident during his cruise and would be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subject to Canadian tax on his worldwide income during all of 2021.</w:t>
      </w:r>
      <w:r>
        <w:rPr>
          <w:rFonts w:ascii="ArialMT" w:hAnsi="ArialMT"/>
          <w:color w:val="000000"/>
        </w:rPr>
        <w:br/>
      </w:r>
      <w:r>
        <w:rPr>
          <w:rStyle w:val="fontstyle71"/>
        </w:rPr>
        <w:t>Case D</w:t>
      </w:r>
      <w:r>
        <w:rPr>
          <w:rFonts w:ascii="Arial-BoldItalicMT" w:hAnsi="Arial-BoldItalicMT"/>
          <w:b/>
          <w:bCs/>
          <w:i/>
          <w:iCs/>
          <w:color w:val="000000"/>
        </w:rPr>
        <w:br/>
      </w:r>
      <w:r>
        <w:rPr>
          <w:rStyle w:val="fontstyle21"/>
        </w:rPr>
        <w:t>As she is exempt from taxation in Germany because she is the spouse of a deemed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Canadian resident, Hilda would be a deemed resident of Canada for income tax purposes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during 2021 [(ITA 250(1)(g)].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Hilda would be subject to Canadian tax on her worldwide income during 2021.</w:t>
      </w:r>
      <w:r>
        <w:rPr>
          <w:rFonts w:ascii="ArialMT" w:hAnsi="ArialMT"/>
          <w:color w:val="000000"/>
        </w:rPr>
        <w:br/>
      </w:r>
      <w:r>
        <w:rPr>
          <w:rStyle w:val="fontstyle71"/>
        </w:rPr>
        <w:t>Case E</w:t>
      </w:r>
      <w:r>
        <w:rPr>
          <w:rFonts w:ascii="Arial-BoldItalicMT" w:hAnsi="Arial-BoldItalicMT"/>
          <w:b/>
          <w:bCs/>
          <w:i/>
          <w:iCs/>
          <w:color w:val="000000"/>
        </w:rPr>
        <w:br/>
      </w:r>
      <w:r>
        <w:rPr>
          <w:rStyle w:val="fontstyle21"/>
        </w:rPr>
        <w:t>Because she has an employment contract that requires her to return to Canada in 2024,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Jessica will be viewed as having retained Canadian residence status. Although she has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severed her ties with Canada, the requirement to return would show that she does not intend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to permanently leave Canada.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Jessica will be subject to Canadian tax on her worldwide income during 2021.</w:t>
      </w:r>
      <w:r>
        <w:br/>
      </w:r>
      <w:r>
        <w:rPr>
          <w:rStyle w:val="fontstyle31"/>
        </w:rPr>
        <w:lastRenderedPageBreak/>
        <w:t xml:space="preserve">Instructor’s Solutions Manual, </w:t>
      </w:r>
      <w:r>
        <w:rPr>
          <w:rStyle w:val="fontstyle41"/>
        </w:rPr>
        <w:t>Byrd &amp; Chen’s Canadian Tax Principle</w:t>
      </w:r>
      <w:r>
        <w:rPr>
          <w:rStyle w:val="fontstyle31"/>
        </w:rPr>
        <w:t>s 2021/22 Edition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Style w:val="fontstyle31"/>
        </w:rPr>
        <w:t>Copyright © 2022 Pearson Education Inc. 1-8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Style w:val="fontstyle01"/>
          <w:sz w:val="32"/>
          <w:szCs w:val="32"/>
        </w:rPr>
        <w:t>Solution to AP 1-8</w:t>
      </w:r>
      <w:r>
        <w:rPr>
          <w:rFonts w:ascii="Arial-BoldMT" w:hAnsi="Arial-BoldMT"/>
          <w:b/>
          <w:bCs/>
          <w:color w:val="000000"/>
          <w:sz w:val="32"/>
          <w:szCs w:val="32"/>
        </w:rPr>
        <w:br/>
      </w:r>
      <w:r>
        <w:rPr>
          <w:rStyle w:val="fontstyle71"/>
        </w:rPr>
        <w:t>Canada/U.S. Tax Treaty Tie Breaker Rule</w:t>
      </w:r>
      <w:r>
        <w:rPr>
          <w:rFonts w:ascii="Arial-BoldItalicMT" w:hAnsi="Arial-BoldItalicMT"/>
          <w:b/>
          <w:bCs/>
          <w:i/>
          <w:iCs/>
          <w:color w:val="000000"/>
        </w:rPr>
        <w:br/>
      </w:r>
      <w:r>
        <w:rPr>
          <w:rStyle w:val="fontstyle21"/>
        </w:rPr>
        <w:t>In cases of dual residency for corporations, where a corporation could be considered a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resident of both countries, the Canada/U.S. tax treaty considers that the corporation will be a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resident only of the country in which it is incorporated.</w:t>
      </w:r>
      <w:r>
        <w:rPr>
          <w:rFonts w:ascii="ArialMT" w:hAnsi="ArialMT"/>
          <w:color w:val="000000"/>
        </w:rPr>
        <w:br/>
      </w:r>
      <w:r>
        <w:rPr>
          <w:rStyle w:val="fontstyle71"/>
        </w:rPr>
        <w:t>Case A</w:t>
      </w:r>
      <w:r>
        <w:rPr>
          <w:rFonts w:ascii="Arial-BoldItalicMT" w:hAnsi="Arial-BoldItalicMT"/>
          <w:b/>
          <w:bCs/>
          <w:i/>
          <w:iCs/>
          <w:color w:val="000000"/>
        </w:rPr>
        <w:br/>
      </w:r>
      <w:r>
        <w:rPr>
          <w:rStyle w:val="fontstyle21"/>
        </w:rPr>
        <w:t>The mind and management of the Allor Company are in Canada and as a result the company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is a factual resident of Canada. However, as the Allor Company was incorporated in the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U.S., it is also a resident of that country. Using the tie breaker rule, the Allor Company will be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considered a resident of the U.S. and deemed to be a non-resident of Canada.</w:t>
      </w:r>
      <w:r>
        <w:rPr>
          <w:rFonts w:ascii="ArialMT" w:hAnsi="ArialMT"/>
          <w:color w:val="000000"/>
        </w:rPr>
        <w:br/>
      </w:r>
      <w:r>
        <w:rPr>
          <w:rStyle w:val="fontstyle71"/>
        </w:rPr>
        <w:t>Case B</w:t>
      </w:r>
      <w:r>
        <w:rPr>
          <w:rFonts w:ascii="Arial-BoldItalicMT" w:hAnsi="Arial-BoldItalicMT"/>
          <w:b/>
          <w:bCs/>
          <w:i/>
          <w:iCs/>
          <w:color w:val="000000"/>
        </w:rPr>
        <w:br/>
      </w:r>
      <w:r>
        <w:rPr>
          <w:rStyle w:val="fontstyle21"/>
        </w:rPr>
        <w:t>Kodar Ltd. was incorporated in Canada after April 26, 1965. This means that, under ITA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250(4)(a), Kodar Ltd. is a deemed resident of Canada. Because the mind and management of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the company are in the United States, it is a factual resident of the U.S. Using the tie breaker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rule, Kodar Ltd. will be considered a resident of Canada only as it was incorporated in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Canada.</w:t>
      </w:r>
      <w:r>
        <w:rPr>
          <w:rFonts w:ascii="ArialMT" w:hAnsi="ArialMT"/>
          <w:color w:val="000000"/>
        </w:rPr>
        <w:br/>
      </w:r>
      <w:r>
        <w:rPr>
          <w:rStyle w:val="fontstyle71"/>
        </w:rPr>
        <w:t>Case C</w:t>
      </w:r>
      <w:r>
        <w:rPr>
          <w:rFonts w:ascii="Arial-BoldItalicMT" w:hAnsi="Arial-BoldItalicMT"/>
          <w:b/>
          <w:bCs/>
          <w:i/>
          <w:iCs/>
          <w:color w:val="000000"/>
        </w:rPr>
        <w:br/>
      </w:r>
      <w:r>
        <w:rPr>
          <w:rStyle w:val="fontstyle21"/>
        </w:rPr>
        <w:t>The Karlos Company was not incorporated in Canada and its mind and management are not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currently located in Canada meaning it is neither a factual or deemed resident of Canada.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Therefore, Karlos would be considered a non-resident of Canada.</w:t>
      </w:r>
      <w:r>
        <w:rPr>
          <w:rFonts w:ascii="ArialMT" w:hAnsi="ArialMT"/>
          <w:color w:val="000000"/>
        </w:rPr>
        <w:br/>
      </w:r>
      <w:r>
        <w:rPr>
          <w:rStyle w:val="fontstyle71"/>
        </w:rPr>
        <w:t>Case D</w:t>
      </w:r>
      <w:r>
        <w:rPr>
          <w:rFonts w:ascii="Arial-BoldItalicMT" w:hAnsi="Arial-BoldItalicMT"/>
          <w:b/>
          <w:bCs/>
          <w:i/>
          <w:iCs/>
          <w:color w:val="000000"/>
        </w:rPr>
        <w:br/>
      </w:r>
      <w:r>
        <w:rPr>
          <w:rStyle w:val="fontstyle21"/>
        </w:rPr>
        <w:t>Bradlee Inc. was incorporated in Canada prior to April 27, 1965. In addition it carried on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business in Canada after that date and therefore it is a deemed resident under ITA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250(4)(c).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As the mind and management of the company are currently in the United States, the company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is a factual resident of that country. Under the tie breaker rule, Bradlee Inc. would be a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resident of Canada only since it was incorporated in Canada.</w:t>
      </w:r>
      <w:r>
        <w:rPr>
          <w:rFonts w:ascii="ArialMT" w:hAnsi="ArialMT"/>
          <w:color w:val="000000"/>
        </w:rPr>
        <w:br/>
      </w:r>
      <w:r>
        <w:rPr>
          <w:rStyle w:val="fontstyle01"/>
          <w:sz w:val="32"/>
          <w:szCs w:val="32"/>
        </w:rPr>
        <w:t>Solution to AP 1-9</w:t>
      </w:r>
      <w:r>
        <w:rPr>
          <w:rFonts w:ascii="Arial-BoldMT" w:hAnsi="Arial-BoldMT"/>
          <w:b/>
          <w:bCs/>
          <w:color w:val="000000"/>
          <w:sz w:val="32"/>
          <w:szCs w:val="32"/>
        </w:rPr>
        <w:br/>
      </w:r>
      <w:r>
        <w:rPr>
          <w:rStyle w:val="fontstyle71"/>
        </w:rPr>
        <w:t>Part A</w:t>
      </w:r>
      <w:r>
        <w:rPr>
          <w:rFonts w:ascii="Arial-BoldItalicMT" w:hAnsi="Arial-BoldItalicMT"/>
          <w:b/>
          <w:bCs/>
          <w:i/>
          <w:iCs/>
          <w:color w:val="000000"/>
        </w:rPr>
        <w:br/>
      </w:r>
      <w:r>
        <w:rPr>
          <w:rStyle w:val="fontstyle21"/>
        </w:rPr>
        <w:t>Brian Palm would be considered a part year resident of Canada until July 31, 2021, the date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of his departure, and would be taxed on his worldwide income for this period. As his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presence in Canada during the first part of the year was on a full time basis (e.g. not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vacationing or other temporary stay), he would not fall under the sojourning rules.</w:t>
      </w:r>
      <w:r>
        <w:rPr>
          <w:rFonts w:ascii="ArialMT" w:hAnsi="ArialMT"/>
          <w:color w:val="000000"/>
        </w:rPr>
        <w:br/>
      </w:r>
      <w:r>
        <w:rPr>
          <w:rStyle w:val="fontstyle71"/>
        </w:rPr>
        <w:t>Part B</w:t>
      </w:r>
      <w:r>
        <w:rPr>
          <w:rFonts w:ascii="Arial-BoldItalicMT" w:hAnsi="Arial-BoldItalicMT"/>
          <w:b/>
          <w:bCs/>
          <w:i/>
          <w:iCs/>
          <w:color w:val="000000"/>
        </w:rPr>
        <w:br/>
      </w:r>
      <w:r>
        <w:rPr>
          <w:rStyle w:val="fontstyle21"/>
        </w:rPr>
        <w:t>Rachel is a deemed resident of Canada under ITA 250(1)(b). As Gunter is exempt from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German taxation because he is related to Rachel, he is also considered a deemed resident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of Canada under ITA 250(1)(g).</w:t>
      </w:r>
    </w:p>
    <w:sectPr w:rsidR="00C92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Arial-BoldItalic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ED"/>
    <w:rsid w:val="009A340D"/>
    <w:rsid w:val="00B656ED"/>
    <w:rsid w:val="00C9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B6DBD-25D1-4C10-BA76-44CFFD83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A340D"/>
    <w:rPr>
      <w:rFonts w:ascii="Arial-BoldMT" w:hAnsi="Arial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9A340D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9A340D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9A340D"/>
    <w:rPr>
      <w:rFonts w:ascii="Calibri-Italic" w:hAnsi="Calibri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51">
    <w:name w:val="fontstyle51"/>
    <w:basedOn w:val="a0"/>
    <w:rsid w:val="009A340D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61">
    <w:name w:val="fontstyle61"/>
    <w:basedOn w:val="a0"/>
    <w:rsid w:val="009A340D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71">
    <w:name w:val="fontstyle71"/>
    <w:basedOn w:val="a0"/>
    <w:rsid w:val="009A340D"/>
    <w:rPr>
      <w:rFonts w:ascii="Arial-BoldItalicMT" w:hAnsi="Arial-BoldItalicMT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3305</Words>
  <Characters>18842</Characters>
  <Application>Microsoft Office Word</Application>
  <DocSecurity>0</DocSecurity>
  <Lines>157</Lines>
  <Paragraphs>44</Paragraphs>
  <ScaleCrop>false</ScaleCrop>
  <Company/>
  <LinksUpToDate>false</LinksUpToDate>
  <CharactersWithSpaces>22103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SEWAR</dc:creator>
  <cp:keywords/>
  <dc:description/>
  <cp:lastModifiedBy>SEWAR</cp:lastModifiedBy>
  <cp:revision>2</cp:revision>
  <dcterms:created xsi:type="dcterms:W3CDTF">2022-07-27T09:03:00Z</dcterms:created>
  <dcterms:modified xsi:type="dcterms:W3CDTF">2022-07-27T09:03:00Z</dcterms:modified>
</cp:coreProperties>
</file>